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5" w:type="dxa"/>
        <w:jc w:val="center"/>
        <w:tblLook w:val="04A0" w:firstRow="1" w:lastRow="0" w:firstColumn="1" w:lastColumn="0" w:noHBand="0" w:noVBand="1"/>
      </w:tblPr>
      <w:tblGrid>
        <w:gridCol w:w="4959"/>
        <w:gridCol w:w="5076"/>
      </w:tblGrid>
      <w:tr w:rsidR="00340A42" w:rsidRPr="00E856C9" w14:paraId="02FD9AA7" w14:textId="77777777" w:rsidTr="002E1ADD">
        <w:trPr>
          <w:trHeight w:val="1610"/>
          <w:jc w:val="center"/>
        </w:trPr>
        <w:tc>
          <w:tcPr>
            <w:tcW w:w="4959" w:type="dxa"/>
          </w:tcPr>
          <w:p w14:paraId="4A83998B" w14:textId="4D33F816" w:rsidR="00340A42" w:rsidRPr="00E856C9" w:rsidRDefault="00340A42" w:rsidP="002E1ADD">
            <w:pPr>
              <w:tabs>
                <w:tab w:val="left" w:pos="709"/>
              </w:tabs>
              <w:adjustRightInd w:val="0"/>
              <w:snapToGrid w:val="0"/>
              <w:spacing w:after="0" w:line="240" w:lineRule="auto"/>
              <w:jc w:val="center"/>
              <w:rPr>
                <w:rFonts w:ascii="Times New Roman" w:hAnsi="Times New Roman"/>
                <w:b/>
                <w:sz w:val="16"/>
                <w:szCs w:val="20"/>
              </w:rPr>
            </w:pPr>
            <w:r w:rsidRPr="00E856C9">
              <w:rPr>
                <w:rFonts w:ascii="Times New Roman" w:hAnsi="Times New Roman"/>
                <w:noProof/>
                <w:sz w:val="16"/>
                <w:szCs w:val="20"/>
                <w:lang w:eastAsia="fr-FR"/>
              </w:rPr>
              <w:drawing>
                <wp:anchor distT="0" distB="0" distL="114300" distR="114300" simplePos="0" relativeHeight="251659264" behindDoc="1" locked="0" layoutInCell="1" allowOverlap="1" wp14:anchorId="253EC0DD" wp14:editId="731A5908">
                  <wp:simplePos x="0" y="0"/>
                  <wp:positionH relativeFrom="column">
                    <wp:posOffset>2517242</wp:posOffset>
                  </wp:positionH>
                  <wp:positionV relativeFrom="paragraph">
                    <wp:posOffset>73373</wp:posOffset>
                  </wp:positionV>
                  <wp:extent cx="1198709" cy="476411"/>
                  <wp:effectExtent l="0" t="0" r="1905" b="0"/>
                  <wp:wrapNone/>
                  <wp:docPr id="4" name="Image 1"/>
                  <wp:cNvGraphicFramePr/>
                  <a:graphic xmlns:a="http://schemas.openxmlformats.org/drawingml/2006/main">
                    <a:graphicData uri="http://schemas.openxmlformats.org/drawingml/2006/picture">
                      <pic:pic xmlns:pic="http://schemas.openxmlformats.org/drawingml/2006/picture">
                        <pic:nvPicPr>
                          <pic:cNvPr id="4" name="Image 1"/>
                          <pic:cNvPicPr/>
                        </pic:nvPicPr>
                        <pic:blipFill>
                          <a:blip r:embed="rId5" cstate="print">
                            <a:lum bright="-12000" contrast="24000"/>
                            <a:extLst>
                              <a:ext uri="{28A0092B-C50C-407E-A947-70E740481C1C}">
                                <a14:useLocalDpi xmlns:a14="http://schemas.microsoft.com/office/drawing/2010/main" val="0"/>
                              </a:ext>
                            </a:extLst>
                          </a:blip>
                          <a:srcRect l="8034" t="14350" r="75365" b="74021"/>
                          <a:stretch>
                            <a:fillRect/>
                          </a:stretch>
                        </pic:blipFill>
                        <pic:spPr>
                          <a:xfrm>
                            <a:off x="0" y="0"/>
                            <a:ext cx="1198709" cy="476411"/>
                          </a:xfrm>
                          <a:prstGeom prst="rect">
                            <a:avLst/>
                          </a:prstGeom>
                          <a:ln>
                            <a:noFill/>
                          </a:ln>
                        </pic:spPr>
                      </pic:pic>
                    </a:graphicData>
                  </a:graphic>
                  <wp14:sizeRelH relativeFrom="margin">
                    <wp14:pctWidth>0</wp14:pctWidth>
                  </wp14:sizeRelH>
                  <wp14:sizeRelV relativeFrom="margin">
                    <wp14:pctHeight>0</wp14:pctHeight>
                  </wp14:sizeRelV>
                </wp:anchor>
              </w:drawing>
            </w:r>
            <w:r w:rsidRPr="00E856C9">
              <w:rPr>
                <w:rFonts w:ascii="Times New Roman" w:hAnsi="Times New Roman"/>
                <w:b/>
                <w:sz w:val="16"/>
                <w:szCs w:val="20"/>
              </w:rPr>
              <w:t>REPUBLIQUE DU CAMEROUN</w:t>
            </w:r>
          </w:p>
          <w:p w14:paraId="35A63FF7" w14:textId="268EBEA1" w:rsidR="00340A42" w:rsidRPr="00E856C9" w:rsidRDefault="00340A42" w:rsidP="002E1ADD">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Paix – Travail – Patrie</w:t>
            </w:r>
          </w:p>
          <w:p w14:paraId="45F0B1BC"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3DDF4C51"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MINISTERE DES FINANCES</w:t>
            </w:r>
          </w:p>
          <w:p w14:paraId="3A7FA328"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4DA3064E"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MINISTERE DES MINES, DE L’INDUSTRIE ET DU DEVELOPPEMENT TECHNOLOGIQUE</w:t>
            </w:r>
          </w:p>
          <w:p w14:paraId="0235B0D6"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sz w:val="16"/>
                <w:szCs w:val="20"/>
              </w:rPr>
            </w:pPr>
          </w:p>
          <w:p w14:paraId="60CDB4B1"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b/>
                <w:sz w:val="16"/>
                <w:szCs w:val="24"/>
              </w:rPr>
            </w:pPr>
            <w:r w:rsidRPr="00E856C9">
              <w:rPr>
                <w:rFonts w:ascii="Times New Roman" w:hAnsi="Times New Roman"/>
                <w:b/>
                <w:sz w:val="16"/>
                <w:szCs w:val="24"/>
              </w:rPr>
              <w:t>COMITE ITIE</w:t>
            </w:r>
          </w:p>
          <w:p w14:paraId="4E99D7EC"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7EFD5F9B"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GTSEC</w:t>
            </w:r>
          </w:p>
        </w:tc>
        <w:tc>
          <w:tcPr>
            <w:tcW w:w="5076" w:type="dxa"/>
          </w:tcPr>
          <w:p w14:paraId="5949CC92"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b/>
                <w:sz w:val="16"/>
                <w:szCs w:val="20"/>
                <w:lang w:val="en-GB"/>
              </w:rPr>
            </w:pPr>
            <w:r w:rsidRPr="00E856C9">
              <w:rPr>
                <w:rFonts w:ascii="Times New Roman" w:hAnsi="Times New Roman"/>
                <w:b/>
                <w:sz w:val="16"/>
                <w:szCs w:val="20"/>
              </w:rPr>
              <w:t xml:space="preserve">      </w:t>
            </w:r>
            <w:r w:rsidRPr="00E856C9">
              <w:rPr>
                <w:rFonts w:ascii="Times New Roman" w:hAnsi="Times New Roman"/>
                <w:b/>
                <w:sz w:val="16"/>
                <w:szCs w:val="20"/>
                <w:lang w:val="en-GB"/>
              </w:rPr>
              <w:t>REPUBLIC OF CAMEROON</w:t>
            </w:r>
          </w:p>
          <w:p w14:paraId="7F39E243"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 xml:space="preserve">        Peace – Work – Fatherland</w:t>
            </w:r>
          </w:p>
          <w:p w14:paraId="6AAA33C0"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w:t>
            </w:r>
          </w:p>
          <w:p w14:paraId="1E904011"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 xml:space="preserve">        MINISTRY OF FINANCE</w:t>
            </w:r>
          </w:p>
          <w:p w14:paraId="1EF6948F"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74ADF741" w14:textId="77777777" w:rsidR="00340A42" w:rsidRPr="00E856C9" w:rsidRDefault="00340A42" w:rsidP="002E1ADD">
            <w:pPr>
              <w:tabs>
                <w:tab w:val="left" w:pos="709"/>
              </w:tabs>
              <w:spacing w:after="0" w:line="240" w:lineRule="auto"/>
              <w:jc w:val="center"/>
              <w:rPr>
                <w:rFonts w:ascii="Times New Roman" w:hAnsi="Times New Roman"/>
                <w:sz w:val="16"/>
                <w:szCs w:val="20"/>
              </w:rPr>
            </w:pPr>
            <w:r w:rsidRPr="00E856C9">
              <w:rPr>
                <w:rFonts w:ascii="Times New Roman" w:hAnsi="Times New Roman"/>
                <w:sz w:val="16"/>
                <w:szCs w:val="20"/>
              </w:rPr>
              <w:t xml:space="preserve">MINISTRY OF MINING, INDUSTRY AND </w:t>
            </w:r>
          </w:p>
          <w:p w14:paraId="50F3797D" w14:textId="77777777" w:rsidR="00340A42" w:rsidRPr="00E856C9" w:rsidRDefault="00340A42" w:rsidP="002E1ADD">
            <w:pPr>
              <w:tabs>
                <w:tab w:val="left" w:pos="709"/>
              </w:tabs>
              <w:spacing w:after="0" w:line="240" w:lineRule="auto"/>
              <w:jc w:val="center"/>
              <w:rPr>
                <w:rFonts w:ascii="Times New Roman" w:hAnsi="Times New Roman"/>
                <w:sz w:val="16"/>
                <w:szCs w:val="20"/>
                <w:lang w:val="en-GB"/>
              </w:rPr>
            </w:pPr>
            <w:r w:rsidRPr="00E856C9">
              <w:rPr>
                <w:rFonts w:ascii="Times New Roman" w:hAnsi="Times New Roman"/>
                <w:sz w:val="16"/>
                <w:szCs w:val="20"/>
              </w:rPr>
              <w:t>TECHNOLOGICAL DEVELOPMENT</w:t>
            </w:r>
          </w:p>
          <w:p w14:paraId="27889A6F" w14:textId="77777777" w:rsidR="00340A42" w:rsidRPr="00E856C9" w:rsidRDefault="00340A42" w:rsidP="002E1ADD">
            <w:pPr>
              <w:tabs>
                <w:tab w:val="left" w:pos="709"/>
              </w:tabs>
              <w:adjustRightInd w:val="0"/>
              <w:snapToGrid w:val="0"/>
              <w:spacing w:after="0" w:line="240" w:lineRule="auto"/>
              <w:jc w:val="center"/>
              <w:rPr>
                <w:rFonts w:ascii="Times New Roman" w:hAnsi="Times New Roman"/>
                <w:b/>
                <w:sz w:val="16"/>
                <w:szCs w:val="20"/>
                <w:lang w:val="en-GB"/>
              </w:rPr>
            </w:pPr>
            <w:r w:rsidRPr="00E856C9">
              <w:rPr>
                <w:rFonts w:ascii="Times New Roman" w:hAnsi="Times New Roman"/>
                <w:b/>
                <w:sz w:val="16"/>
                <w:szCs w:val="20"/>
                <w:lang w:val="en-GB"/>
              </w:rPr>
              <w:t xml:space="preserve">      </w:t>
            </w:r>
            <w:r w:rsidRPr="00E856C9">
              <w:rPr>
                <w:rFonts w:ascii="Times New Roman" w:hAnsi="Times New Roman"/>
                <w:b/>
                <w:sz w:val="16"/>
                <w:szCs w:val="24"/>
                <w:lang w:val="en-GB"/>
              </w:rPr>
              <w:t>EITI COMMITTEE</w:t>
            </w:r>
          </w:p>
          <w:p w14:paraId="3E996EFD" w14:textId="77777777" w:rsidR="00340A42" w:rsidRPr="00E856C9" w:rsidRDefault="00340A42" w:rsidP="002E1ADD">
            <w:pPr>
              <w:tabs>
                <w:tab w:val="left" w:pos="1500"/>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w:t>
            </w:r>
          </w:p>
          <w:p w14:paraId="1F43B182" w14:textId="77777777" w:rsidR="00340A42" w:rsidRPr="00E856C9" w:rsidRDefault="00340A42" w:rsidP="002E1ADD">
            <w:pPr>
              <w:tabs>
                <w:tab w:val="left" w:pos="1500"/>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WGTE</w:t>
            </w:r>
          </w:p>
        </w:tc>
      </w:tr>
    </w:tbl>
    <w:p w14:paraId="5622A4A6" w14:textId="77777777" w:rsidR="00340A42" w:rsidRPr="00E856C9" w:rsidRDefault="00340A42" w:rsidP="00340A42">
      <w:pPr>
        <w:spacing w:after="0" w:line="240" w:lineRule="auto"/>
        <w:rPr>
          <w:rFonts w:ascii="Times New Roman" w:hAnsi="Times New Roman"/>
          <w:b/>
          <w:sz w:val="8"/>
          <w:szCs w:val="8"/>
        </w:rPr>
      </w:pPr>
      <w:r w:rsidRPr="00E856C9">
        <w:rPr>
          <w:rFonts w:ascii="Times New Roman" w:hAnsi="Times New Roman"/>
          <w:b/>
          <w:sz w:val="8"/>
          <w:szCs w:val="8"/>
        </w:rPr>
        <w:t>_______________________________________________________________________________________________________________________________________________________________________________________________________________</w:t>
      </w:r>
    </w:p>
    <w:p w14:paraId="0A13660D" w14:textId="77777777" w:rsidR="00340A42" w:rsidRPr="00E856C9" w:rsidRDefault="00340A42" w:rsidP="00340A42">
      <w:pPr>
        <w:spacing w:after="0" w:line="240" w:lineRule="auto"/>
        <w:rPr>
          <w:rFonts w:ascii="Times New Roman" w:hAnsi="Times New Roman"/>
          <w:b/>
          <w:szCs w:val="18"/>
        </w:rPr>
      </w:pPr>
      <w:r>
        <w:rPr>
          <w:rFonts w:ascii="Times New Roman" w:hAnsi="Times New Roman"/>
          <w:b/>
          <w:szCs w:val="18"/>
        </w:rPr>
        <w:t>N°__________</w:t>
      </w:r>
      <w:r w:rsidRPr="00E856C9">
        <w:rPr>
          <w:rFonts w:ascii="Times New Roman" w:hAnsi="Times New Roman"/>
          <w:b/>
          <w:szCs w:val="18"/>
        </w:rPr>
        <w:t>/MINFI/</w:t>
      </w:r>
      <w:r>
        <w:rPr>
          <w:rFonts w:ascii="Times New Roman" w:hAnsi="Times New Roman"/>
          <w:b/>
          <w:szCs w:val="18"/>
        </w:rPr>
        <w:t>MINMIDT/</w:t>
      </w:r>
      <w:r w:rsidRPr="00E856C9">
        <w:rPr>
          <w:rFonts w:ascii="Times New Roman" w:hAnsi="Times New Roman"/>
          <w:b/>
          <w:szCs w:val="18"/>
        </w:rPr>
        <w:t>ITIE</w:t>
      </w:r>
      <w:r>
        <w:rPr>
          <w:rFonts w:ascii="Times New Roman" w:hAnsi="Times New Roman"/>
          <w:b/>
          <w:szCs w:val="18"/>
        </w:rPr>
        <w:t>/GTSEC</w:t>
      </w:r>
      <w:r>
        <w:rPr>
          <w:rFonts w:ascii="Times New Roman" w:hAnsi="Times New Roman"/>
          <w:b/>
          <w:szCs w:val="18"/>
        </w:rPr>
        <w:tab/>
      </w:r>
      <w:r>
        <w:rPr>
          <w:rFonts w:ascii="Times New Roman" w:hAnsi="Times New Roman"/>
          <w:b/>
          <w:szCs w:val="18"/>
        </w:rPr>
        <w:tab/>
      </w:r>
      <w:r>
        <w:rPr>
          <w:rFonts w:ascii="Times New Roman" w:hAnsi="Times New Roman"/>
          <w:b/>
          <w:szCs w:val="18"/>
        </w:rPr>
        <w:tab/>
        <w:t>Yao</w:t>
      </w:r>
      <w:r w:rsidRPr="005A7108">
        <w:rPr>
          <w:rFonts w:ascii="Times New Roman" w:hAnsi="Times New Roman"/>
          <w:b/>
          <w:szCs w:val="18"/>
          <w:u w:val="single"/>
        </w:rPr>
        <w:t xml:space="preserve">undé, le 10 avril </w:t>
      </w:r>
      <w:r>
        <w:rPr>
          <w:rFonts w:ascii="Times New Roman" w:hAnsi="Times New Roman"/>
          <w:b/>
          <w:szCs w:val="18"/>
        </w:rPr>
        <w:t>2025</w:t>
      </w:r>
    </w:p>
    <w:p w14:paraId="4970D9F1" w14:textId="77777777" w:rsidR="00340A42" w:rsidRDefault="00340A42" w:rsidP="00580663">
      <w:pPr>
        <w:spacing w:after="360"/>
        <w:jc w:val="center"/>
        <w:rPr>
          <w:rFonts w:ascii="Times New Roman" w:hAnsi="Times New Roman" w:cs="Times New Roman"/>
          <w:b/>
          <w:bCs/>
          <w:u w:val="single"/>
        </w:rPr>
      </w:pPr>
    </w:p>
    <w:p w14:paraId="3FE4D410" w14:textId="54B4D943" w:rsidR="00852B28" w:rsidRPr="00810DAC" w:rsidRDefault="0014564B" w:rsidP="00580663">
      <w:pPr>
        <w:spacing w:after="360"/>
        <w:jc w:val="center"/>
        <w:rPr>
          <w:rFonts w:ascii="Times New Roman" w:hAnsi="Times New Roman" w:cs="Times New Roman"/>
          <w:b/>
          <w:bCs/>
          <w:u w:val="single"/>
        </w:rPr>
      </w:pPr>
      <w:r w:rsidRPr="00810DAC">
        <w:rPr>
          <w:rFonts w:ascii="Times New Roman" w:hAnsi="Times New Roman" w:cs="Times New Roman"/>
          <w:b/>
          <w:bCs/>
          <w:u w:val="single"/>
        </w:rPr>
        <w:t>TABLEAU SYNTHETIQUE DES CONTRIBUTIONS PAR COLLEGE</w:t>
      </w:r>
      <w:r w:rsidR="00EC7E9F">
        <w:rPr>
          <w:rFonts w:ascii="Times New Roman" w:hAnsi="Times New Roman" w:cs="Times New Roman"/>
          <w:b/>
          <w:bCs/>
          <w:u w:val="single"/>
        </w:rPr>
        <w:t>S SUR LA PROPOSITION DE PROJET DE PTA 2025</w:t>
      </w:r>
    </w:p>
    <w:tbl>
      <w:tblPr>
        <w:tblStyle w:val="Grilledutableau"/>
        <w:tblW w:w="9782" w:type="dxa"/>
        <w:tblInd w:w="-431" w:type="dxa"/>
        <w:tblLook w:val="04A0" w:firstRow="1" w:lastRow="0" w:firstColumn="1" w:lastColumn="0" w:noHBand="0" w:noVBand="1"/>
      </w:tblPr>
      <w:tblGrid>
        <w:gridCol w:w="1660"/>
        <w:gridCol w:w="2172"/>
        <w:gridCol w:w="3271"/>
        <w:gridCol w:w="2679"/>
      </w:tblGrid>
      <w:tr w:rsidR="00890669" w:rsidRPr="00810DAC" w14:paraId="43B7D417" w14:textId="1D8C19C4" w:rsidTr="00A12153">
        <w:tc>
          <w:tcPr>
            <w:tcW w:w="1660" w:type="dxa"/>
            <w:vAlign w:val="center"/>
          </w:tcPr>
          <w:p w14:paraId="61B439D3" w14:textId="38650C80" w:rsidR="00890669" w:rsidRPr="00810DAC" w:rsidRDefault="00890669" w:rsidP="00580663">
            <w:pPr>
              <w:jc w:val="center"/>
              <w:rPr>
                <w:rFonts w:ascii="Times New Roman" w:hAnsi="Times New Roman" w:cs="Times New Roman"/>
                <w:b/>
                <w:bCs/>
                <w:u w:val="single"/>
              </w:rPr>
            </w:pPr>
            <w:r w:rsidRPr="00810DAC">
              <w:rPr>
                <w:rFonts w:ascii="Times New Roman" w:hAnsi="Times New Roman" w:cs="Times New Roman"/>
                <w:b/>
                <w:bCs/>
                <w:u w:val="single"/>
              </w:rPr>
              <w:t>COLLEGE</w:t>
            </w:r>
          </w:p>
        </w:tc>
        <w:tc>
          <w:tcPr>
            <w:tcW w:w="2172" w:type="dxa"/>
            <w:vAlign w:val="center"/>
          </w:tcPr>
          <w:p w14:paraId="5A1B34D5" w14:textId="4ED5B29F" w:rsidR="00890669" w:rsidRPr="00810DAC" w:rsidRDefault="00890669" w:rsidP="00580663">
            <w:pPr>
              <w:jc w:val="center"/>
              <w:rPr>
                <w:rFonts w:ascii="Times New Roman" w:hAnsi="Times New Roman" w:cs="Times New Roman"/>
                <w:b/>
                <w:bCs/>
                <w:u w:val="single"/>
              </w:rPr>
            </w:pPr>
            <w:r w:rsidRPr="00810DAC">
              <w:rPr>
                <w:rFonts w:ascii="Times New Roman" w:hAnsi="Times New Roman" w:cs="Times New Roman"/>
                <w:b/>
                <w:bCs/>
                <w:u w:val="single"/>
              </w:rPr>
              <w:t>ENTITE</w:t>
            </w:r>
          </w:p>
        </w:tc>
        <w:tc>
          <w:tcPr>
            <w:tcW w:w="3271" w:type="dxa"/>
            <w:vAlign w:val="center"/>
          </w:tcPr>
          <w:p w14:paraId="60C6BFC5" w14:textId="3A012736" w:rsidR="00890669" w:rsidRPr="00810DAC" w:rsidRDefault="00890669" w:rsidP="00580663">
            <w:pPr>
              <w:jc w:val="center"/>
              <w:rPr>
                <w:rFonts w:ascii="Times New Roman" w:hAnsi="Times New Roman" w:cs="Times New Roman"/>
                <w:b/>
                <w:bCs/>
                <w:u w:val="single"/>
              </w:rPr>
            </w:pPr>
            <w:r w:rsidRPr="00810DAC">
              <w:rPr>
                <w:rFonts w:ascii="Times New Roman" w:hAnsi="Times New Roman" w:cs="Times New Roman"/>
                <w:b/>
                <w:bCs/>
                <w:u w:val="single"/>
              </w:rPr>
              <w:t>CONTRIBUTION</w:t>
            </w:r>
          </w:p>
        </w:tc>
        <w:tc>
          <w:tcPr>
            <w:tcW w:w="2679" w:type="dxa"/>
            <w:vAlign w:val="center"/>
          </w:tcPr>
          <w:p w14:paraId="22C53BFD" w14:textId="2DEDD7B7" w:rsidR="00890669" w:rsidRPr="00810DAC" w:rsidRDefault="00890669" w:rsidP="00580663">
            <w:pPr>
              <w:jc w:val="center"/>
              <w:rPr>
                <w:rFonts w:ascii="Times New Roman" w:hAnsi="Times New Roman" w:cs="Times New Roman"/>
                <w:b/>
                <w:bCs/>
                <w:u w:val="single"/>
              </w:rPr>
            </w:pPr>
            <w:r w:rsidRPr="00810DAC">
              <w:rPr>
                <w:rFonts w:ascii="Times New Roman" w:hAnsi="Times New Roman" w:cs="Times New Roman"/>
                <w:b/>
                <w:bCs/>
                <w:u w:val="single"/>
              </w:rPr>
              <w:t>METHODOLOGIE</w:t>
            </w:r>
          </w:p>
        </w:tc>
      </w:tr>
      <w:tr w:rsidR="008828CE" w:rsidRPr="00810DAC" w14:paraId="35DB488F" w14:textId="039B0CD7" w:rsidTr="00A12153">
        <w:tc>
          <w:tcPr>
            <w:tcW w:w="1660" w:type="dxa"/>
            <w:vMerge w:val="restart"/>
            <w:vAlign w:val="center"/>
          </w:tcPr>
          <w:p w14:paraId="7E5042EE" w14:textId="7A2A7382" w:rsidR="008828CE" w:rsidRPr="00810DAC" w:rsidRDefault="008828CE">
            <w:pPr>
              <w:rPr>
                <w:rFonts w:ascii="Times New Roman" w:hAnsi="Times New Roman" w:cs="Times New Roman"/>
                <w:b/>
                <w:bCs/>
              </w:rPr>
            </w:pPr>
            <w:r w:rsidRPr="00810DAC">
              <w:rPr>
                <w:rFonts w:ascii="Times New Roman" w:hAnsi="Times New Roman" w:cs="Times New Roman"/>
                <w:b/>
                <w:bCs/>
              </w:rPr>
              <w:t>Administration</w:t>
            </w:r>
          </w:p>
        </w:tc>
        <w:tc>
          <w:tcPr>
            <w:tcW w:w="2172" w:type="dxa"/>
            <w:vAlign w:val="center"/>
          </w:tcPr>
          <w:p w14:paraId="682496B9" w14:textId="5849F7AE" w:rsidR="008828CE" w:rsidRPr="00810DAC" w:rsidRDefault="008828CE">
            <w:pPr>
              <w:rPr>
                <w:rFonts w:ascii="Times New Roman" w:hAnsi="Times New Roman" w:cs="Times New Roman"/>
              </w:rPr>
            </w:pPr>
            <w:r w:rsidRPr="00810DAC">
              <w:rPr>
                <w:rFonts w:ascii="Times New Roman" w:hAnsi="Times New Roman" w:cs="Times New Roman"/>
              </w:rPr>
              <w:t>DM/MIMIDT</w:t>
            </w:r>
          </w:p>
        </w:tc>
        <w:tc>
          <w:tcPr>
            <w:tcW w:w="3271" w:type="dxa"/>
            <w:vAlign w:val="center"/>
          </w:tcPr>
          <w:p w14:paraId="0C3913C4" w14:textId="3E339F58" w:rsidR="008828CE" w:rsidRPr="00810DAC" w:rsidRDefault="008828CE" w:rsidP="002A790F">
            <w:pPr>
              <w:pStyle w:val="Paragraphedeliste"/>
              <w:numPr>
                <w:ilvl w:val="0"/>
                <w:numId w:val="1"/>
              </w:numPr>
              <w:ind w:left="364"/>
              <w:rPr>
                <w:rFonts w:ascii="Times New Roman" w:hAnsi="Times New Roman" w:cs="Times New Roman"/>
              </w:rPr>
            </w:pPr>
            <w:r w:rsidRPr="00810DAC">
              <w:rPr>
                <w:rFonts w:ascii="Times New Roman" w:hAnsi="Times New Roman" w:cs="Times New Roman"/>
              </w:rPr>
              <w:t>Forme du document (</w:t>
            </w:r>
            <w:r w:rsidRPr="00810DAC">
              <w:rPr>
                <w:rFonts w:ascii="Times New Roman" w:hAnsi="Times New Roman" w:cs="Times New Roman"/>
                <w:i/>
                <w:iCs/>
              </w:rPr>
              <w:t>ressortir le listing des activités, reformuler les activités, …)</w:t>
            </w:r>
            <w:r>
              <w:rPr>
                <w:rFonts w:ascii="Times New Roman" w:hAnsi="Times New Roman" w:cs="Times New Roman"/>
                <w:i/>
                <w:iCs/>
              </w:rPr>
              <w:t> ;</w:t>
            </w:r>
          </w:p>
          <w:p w14:paraId="0D9DCF69" w14:textId="6433CED5" w:rsidR="008828CE" w:rsidRPr="00810DAC" w:rsidRDefault="008828CE" w:rsidP="002A790F">
            <w:pPr>
              <w:pStyle w:val="Paragraphedeliste"/>
              <w:numPr>
                <w:ilvl w:val="0"/>
                <w:numId w:val="1"/>
              </w:numPr>
              <w:ind w:left="364"/>
              <w:rPr>
                <w:rFonts w:ascii="Times New Roman" w:hAnsi="Times New Roman" w:cs="Times New Roman"/>
              </w:rPr>
            </w:pPr>
            <w:r w:rsidRPr="00810DAC">
              <w:rPr>
                <w:rFonts w:ascii="Times New Roman" w:hAnsi="Times New Roman" w:cs="Times New Roman"/>
              </w:rPr>
              <w:t>Planification des activités afin de surtout s’assurer d’un processus de production du Rapport ITIE 2023 qui permettra de s’assurer de la qualité et la fiabilité de certaines informations</w:t>
            </w:r>
            <w:r>
              <w:rPr>
                <w:rFonts w:ascii="Times New Roman" w:hAnsi="Times New Roman" w:cs="Times New Roman"/>
              </w:rPr>
              <w:t> ;</w:t>
            </w:r>
          </w:p>
          <w:p w14:paraId="5EB7378F" w14:textId="15C27427" w:rsidR="008828CE" w:rsidRPr="00810DAC" w:rsidRDefault="008828CE" w:rsidP="002A790F">
            <w:pPr>
              <w:pStyle w:val="Paragraphedeliste"/>
              <w:numPr>
                <w:ilvl w:val="0"/>
                <w:numId w:val="1"/>
              </w:numPr>
              <w:ind w:left="364"/>
              <w:rPr>
                <w:rFonts w:ascii="Times New Roman" w:hAnsi="Times New Roman" w:cs="Times New Roman"/>
              </w:rPr>
            </w:pPr>
            <w:r w:rsidRPr="00810DAC">
              <w:rPr>
                <w:rFonts w:ascii="Times New Roman" w:hAnsi="Times New Roman" w:cs="Times New Roman"/>
              </w:rPr>
              <w:t>Communication (objectifs prioritaires et activités) : Pour la Direction des Mines, la communication ITIE doit pouvoir venir en appui à celle du MINMIDT dans un contexte où l’opinion publique n’a pas visiblement une connaissance suffisante des textes régissant le secteur minier. Ce qui laisse prospérer le doute et une perte de confiance vis-à-vis des institutions</w:t>
            </w:r>
            <w:r>
              <w:rPr>
                <w:rFonts w:ascii="Times New Roman" w:hAnsi="Times New Roman" w:cs="Times New Roman"/>
              </w:rPr>
              <w:t>.</w:t>
            </w:r>
          </w:p>
        </w:tc>
        <w:tc>
          <w:tcPr>
            <w:tcW w:w="2679" w:type="dxa"/>
            <w:vAlign w:val="center"/>
          </w:tcPr>
          <w:p w14:paraId="17677E03" w14:textId="77777777" w:rsidR="008828CE" w:rsidRPr="00810DAC" w:rsidRDefault="008828CE" w:rsidP="00890669">
            <w:pPr>
              <w:rPr>
                <w:rFonts w:ascii="Times New Roman" w:hAnsi="Times New Roman" w:cs="Times New Roman"/>
              </w:rPr>
            </w:pPr>
            <w:r w:rsidRPr="00810DAC">
              <w:rPr>
                <w:rFonts w:ascii="Times New Roman" w:hAnsi="Times New Roman" w:cs="Times New Roman"/>
              </w:rPr>
              <w:t>Il a été question de :</w:t>
            </w:r>
          </w:p>
          <w:p w14:paraId="694C34F8" w14:textId="77777777" w:rsidR="008828CE" w:rsidRDefault="008828CE" w:rsidP="002A790F">
            <w:pPr>
              <w:pStyle w:val="Paragraphedeliste"/>
              <w:numPr>
                <w:ilvl w:val="0"/>
                <w:numId w:val="1"/>
              </w:numPr>
              <w:ind w:left="321"/>
              <w:rPr>
                <w:rFonts w:ascii="Times New Roman" w:hAnsi="Times New Roman" w:cs="Times New Roman"/>
              </w:rPr>
            </w:pPr>
            <w:r w:rsidRPr="00810DAC">
              <w:rPr>
                <w:rFonts w:ascii="Times New Roman" w:hAnsi="Times New Roman" w:cs="Times New Roman"/>
              </w:rPr>
              <w:t>revoir la forme du document</w:t>
            </w:r>
            <w:r>
              <w:rPr>
                <w:rFonts w:ascii="Times New Roman" w:hAnsi="Times New Roman" w:cs="Times New Roman"/>
              </w:rPr>
              <w:t xml:space="preserve"> notamment</w:t>
            </w:r>
            <w:r w:rsidRPr="00810DAC">
              <w:rPr>
                <w:rFonts w:ascii="Times New Roman" w:hAnsi="Times New Roman" w:cs="Times New Roman"/>
              </w:rPr>
              <w:t xml:space="preserve"> en</w:t>
            </w:r>
            <w:r>
              <w:rPr>
                <w:rFonts w:ascii="Times New Roman" w:hAnsi="Times New Roman" w:cs="Times New Roman"/>
              </w:rPr>
              <w:t> :</w:t>
            </w:r>
          </w:p>
          <w:p w14:paraId="799871D4" w14:textId="512F0751" w:rsidR="008828CE" w:rsidRDefault="008828CE" w:rsidP="005502BD">
            <w:pPr>
              <w:pStyle w:val="Paragraphedeliste"/>
              <w:numPr>
                <w:ilvl w:val="0"/>
                <w:numId w:val="2"/>
              </w:numPr>
              <w:rPr>
                <w:rFonts w:ascii="Times New Roman" w:hAnsi="Times New Roman" w:cs="Times New Roman"/>
              </w:rPr>
            </w:pPr>
            <w:r w:rsidRPr="00810DAC">
              <w:rPr>
                <w:rFonts w:ascii="Times New Roman" w:hAnsi="Times New Roman" w:cs="Times New Roman"/>
              </w:rPr>
              <w:t>y introduisant une colonne « N° » avant les activités</w:t>
            </w:r>
            <w:r w:rsidR="00557350">
              <w:rPr>
                <w:rFonts w:ascii="Times New Roman" w:hAnsi="Times New Roman" w:cs="Times New Roman"/>
              </w:rPr>
              <w:t>. Ce qui a eu pour conséquence d’enrichir la Note de présentation</w:t>
            </w:r>
            <w:r w:rsidR="00867D80">
              <w:rPr>
                <w:rFonts w:ascii="Times New Roman" w:hAnsi="Times New Roman" w:cs="Times New Roman"/>
              </w:rPr>
              <w:t xml:space="preserve"> du projet de PTA 2025</w:t>
            </w:r>
            <w:r w:rsidR="00557350">
              <w:rPr>
                <w:rFonts w:ascii="Times New Roman" w:hAnsi="Times New Roman" w:cs="Times New Roman"/>
              </w:rPr>
              <w:t xml:space="preserve"> </w:t>
            </w:r>
            <w:r w:rsidR="009228AF">
              <w:rPr>
                <w:rFonts w:ascii="Times New Roman" w:hAnsi="Times New Roman" w:cs="Times New Roman"/>
              </w:rPr>
              <w:t>à ce propos</w:t>
            </w:r>
            <w:r w:rsidRPr="00810DAC">
              <w:rPr>
                <w:rFonts w:ascii="Times New Roman" w:hAnsi="Times New Roman" w:cs="Times New Roman"/>
              </w:rPr>
              <w:t> </w:t>
            </w:r>
          </w:p>
          <w:p w14:paraId="6C22F83B" w14:textId="77777777" w:rsidR="008828CE" w:rsidRDefault="008828CE" w:rsidP="005502BD">
            <w:pPr>
              <w:pStyle w:val="Paragraphedeliste"/>
              <w:numPr>
                <w:ilvl w:val="0"/>
                <w:numId w:val="2"/>
              </w:numPr>
              <w:rPr>
                <w:rFonts w:ascii="Times New Roman" w:hAnsi="Times New Roman" w:cs="Times New Roman"/>
              </w:rPr>
            </w:pPr>
            <w:r>
              <w:rPr>
                <w:rFonts w:ascii="Times New Roman" w:hAnsi="Times New Roman" w:cs="Times New Roman"/>
              </w:rPr>
              <w:t>renseignant toutes les cases vides</w:t>
            </w:r>
          </w:p>
          <w:p w14:paraId="6B6E6A24" w14:textId="4822CD7C" w:rsidR="008828CE" w:rsidRDefault="008828CE" w:rsidP="005502BD">
            <w:pPr>
              <w:pStyle w:val="Paragraphedeliste"/>
              <w:numPr>
                <w:ilvl w:val="0"/>
                <w:numId w:val="2"/>
              </w:numPr>
              <w:rPr>
                <w:rFonts w:ascii="Times New Roman" w:hAnsi="Times New Roman" w:cs="Times New Roman"/>
              </w:rPr>
            </w:pPr>
            <w:r>
              <w:rPr>
                <w:rFonts w:ascii="Times New Roman" w:hAnsi="Times New Roman" w:cs="Times New Roman"/>
              </w:rPr>
              <w:t xml:space="preserve">fusionnant les cases lorsqu’il en était besoin </w:t>
            </w:r>
          </w:p>
          <w:p w14:paraId="7A31F90B" w14:textId="3DE8D29E" w:rsidR="008828CE" w:rsidRPr="00810DAC" w:rsidRDefault="008828CE" w:rsidP="005502BD">
            <w:pPr>
              <w:pStyle w:val="Paragraphedeliste"/>
              <w:numPr>
                <w:ilvl w:val="0"/>
                <w:numId w:val="2"/>
              </w:numPr>
              <w:rPr>
                <w:rFonts w:ascii="Times New Roman" w:hAnsi="Times New Roman" w:cs="Times New Roman"/>
              </w:rPr>
            </w:pPr>
            <w:r>
              <w:rPr>
                <w:rFonts w:ascii="Times New Roman" w:hAnsi="Times New Roman" w:cs="Times New Roman"/>
              </w:rPr>
              <w:t>vérifiant la police du document</w:t>
            </w:r>
          </w:p>
          <w:p w14:paraId="041F1BF0" w14:textId="2F81C12F" w:rsidR="008828CE" w:rsidRPr="00810DAC" w:rsidRDefault="008828CE" w:rsidP="002A790F">
            <w:pPr>
              <w:pStyle w:val="Paragraphedeliste"/>
              <w:numPr>
                <w:ilvl w:val="0"/>
                <w:numId w:val="1"/>
              </w:numPr>
              <w:ind w:left="321"/>
              <w:rPr>
                <w:rFonts w:ascii="Times New Roman" w:hAnsi="Times New Roman" w:cs="Times New Roman"/>
              </w:rPr>
            </w:pPr>
            <w:r w:rsidRPr="00810DAC">
              <w:rPr>
                <w:rFonts w:ascii="Times New Roman" w:hAnsi="Times New Roman" w:cs="Times New Roman"/>
              </w:rPr>
              <w:t xml:space="preserve">planifier les activités pour </w:t>
            </w:r>
            <w:r>
              <w:rPr>
                <w:rFonts w:ascii="Times New Roman" w:hAnsi="Times New Roman" w:cs="Times New Roman"/>
              </w:rPr>
              <w:t>l</w:t>
            </w:r>
            <w:r w:rsidRPr="00810DAC">
              <w:rPr>
                <w:rFonts w:ascii="Times New Roman" w:hAnsi="Times New Roman" w:cs="Times New Roman"/>
              </w:rPr>
              <w:t>e rapportage ITIE 2023 dès le 3</w:t>
            </w:r>
            <w:r w:rsidRPr="00810DAC">
              <w:rPr>
                <w:rFonts w:ascii="Times New Roman" w:hAnsi="Times New Roman" w:cs="Times New Roman"/>
                <w:vertAlign w:val="superscript"/>
              </w:rPr>
              <w:t>ème</w:t>
            </w:r>
            <w:r w:rsidRPr="00810DAC">
              <w:rPr>
                <w:rFonts w:ascii="Times New Roman" w:hAnsi="Times New Roman" w:cs="Times New Roman"/>
              </w:rPr>
              <w:t xml:space="preserve"> trimestre ;</w:t>
            </w:r>
          </w:p>
          <w:p w14:paraId="22178E5D" w14:textId="7CBD4579" w:rsidR="008828CE" w:rsidRPr="00810DAC" w:rsidRDefault="008828CE" w:rsidP="002A790F">
            <w:pPr>
              <w:pStyle w:val="Paragraphedeliste"/>
              <w:numPr>
                <w:ilvl w:val="0"/>
                <w:numId w:val="1"/>
              </w:numPr>
              <w:ind w:left="321"/>
              <w:rPr>
                <w:rFonts w:ascii="Times New Roman" w:hAnsi="Times New Roman" w:cs="Times New Roman"/>
              </w:rPr>
            </w:pPr>
            <w:r w:rsidRPr="00810DAC">
              <w:rPr>
                <w:rFonts w:ascii="Times New Roman" w:hAnsi="Times New Roman" w:cs="Times New Roman"/>
              </w:rPr>
              <w:t>veiller à la prise en compte des activités de communication favorable à l’information et à a sensibilisation sur les textes régissant le secteur minier ;</w:t>
            </w:r>
          </w:p>
          <w:p w14:paraId="6E4842DC" w14:textId="1F8A9234" w:rsidR="008828CE" w:rsidRPr="00810DAC" w:rsidRDefault="008828CE" w:rsidP="002A790F">
            <w:pPr>
              <w:pStyle w:val="Paragraphedeliste"/>
              <w:numPr>
                <w:ilvl w:val="0"/>
                <w:numId w:val="1"/>
              </w:numPr>
              <w:ind w:left="321"/>
              <w:rPr>
                <w:rFonts w:ascii="Times New Roman" w:hAnsi="Times New Roman" w:cs="Times New Roman"/>
              </w:rPr>
            </w:pPr>
          </w:p>
        </w:tc>
      </w:tr>
      <w:tr w:rsidR="008828CE" w:rsidRPr="00810DAC" w14:paraId="7CD5E319" w14:textId="6539D8F2" w:rsidTr="00A12153">
        <w:tc>
          <w:tcPr>
            <w:tcW w:w="1660" w:type="dxa"/>
            <w:vMerge/>
            <w:vAlign w:val="center"/>
          </w:tcPr>
          <w:p w14:paraId="387B6719" w14:textId="77777777" w:rsidR="008828CE" w:rsidRPr="00810DAC" w:rsidRDefault="008828CE">
            <w:pPr>
              <w:rPr>
                <w:rFonts w:ascii="Times New Roman" w:hAnsi="Times New Roman" w:cs="Times New Roman"/>
                <w:b/>
                <w:bCs/>
              </w:rPr>
            </w:pPr>
          </w:p>
        </w:tc>
        <w:tc>
          <w:tcPr>
            <w:tcW w:w="2172" w:type="dxa"/>
            <w:vAlign w:val="center"/>
          </w:tcPr>
          <w:p w14:paraId="712EF90E" w14:textId="66727192" w:rsidR="008828CE" w:rsidRPr="00810DAC" w:rsidRDefault="008828CE">
            <w:pPr>
              <w:rPr>
                <w:rFonts w:ascii="Times New Roman" w:hAnsi="Times New Roman" w:cs="Times New Roman"/>
              </w:rPr>
            </w:pPr>
            <w:r w:rsidRPr="00810DAC">
              <w:rPr>
                <w:rFonts w:ascii="Times New Roman" w:hAnsi="Times New Roman" w:cs="Times New Roman"/>
              </w:rPr>
              <w:t>SONAMINES</w:t>
            </w:r>
          </w:p>
        </w:tc>
        <w:tc>
          <w:tcPr>
            <w:tcW w:w="3271" w:type="dxa"/>
            <w:vAlign w:val="center"/>
          </w:tcPr>
          <w:p w14:paraId="32157929" w14:textId="6D1D81EB" w:rsidR="008828CE" w:rsidRPr="00810DAC" w:rsidRDefault="008828CE" w:rsidP="00B85536">
            <w:pPr>
              <w:rPr>
                <w:rFonts w:ascii="Times New Roman" w:hAnsi="Times New Roman" w:cs="Times New Roman"/>
              </w:rPr>
            </w:pPr>
            <w:r w:rsidRPr="00810DAC">
              <w:rPr>
                <w:rFonts w:ascii="Times New Roman" w:hAnsi="Times New Roman" w:cs="Times New Roman"/>
              </w:rPr>
              <w:t xml:space="preserve">Objectifs et activités prioritaires du PTA en lien à ceux de la SONAMINES pour la période de référence </w:t>
            </w:r>
          </w:p>
        </w:tc>
        <w:tc>
          <w:tcPr>
            <w:tcW w:w="2679" w:type="dxa"/>
            <w:vAlign w:val="center"/>
          </w:tcPr>
          <w:p w14:paraId="09AF40F5" w14:textId="3E156225" w:rsidR="008828CE" w:rsidRPr="00810DAC" w:rsidRDefault="008828CE" w:rsidP="00BB134C">
            <w:pPr>
              <w:rPr>
                <w:rFonts w:ascii="Times New Roman" w:hAnsi="Times New Roman" w:cs="Times New Roman"/>
              </w:rPr>
            </w:pPr>
            <w:r w:rsidRPr="00810DAC">
              <w:rPr>
                <w:rFonts w:ascii="Times New Roman" w:hAnsi="Times New Roman" w:cs="Times New Roman"/>
              </w:rPr>
              <w:t xml:space="preserve">Prise en compte desdits objectifs et activités et arrimage de ces derniers à ceux de la proposition de projet de PTA 2025 à la </w:t>
            </w:r>
            <w:r w:rsidRPr="00810DAC">
              <w:rPr>
                <w:rFonts w:ascii="Times New Roman" w:hAnsi="Times New Roman" w:cs="Times New Roman"/>
              </w:rPr>
              <w:lastRenderedPageBreak/>
              <w:t xml:space="preserve">lumière de la Norme ITIE. À ce titre, un accent </w:t>
            </w:r>
            <w:r>
              <w:rPr>
                <w:rFonts w:ascii="Times New Roman" w:hAnsi="Times New Roman" w:cs="Times New Roman"/>
              </w:rPr>
              <w:t>a</w:t>
            </w:r>
            <w:r w:rsidRPr="00810DAC">
              <w:rPr>
                <w:rFonts w:ascii="Times New Roman" w:hAnsi="Times New Roman" w:cs="Times New Roman"/>
              </w:rPr>
              <w:t xml:space="preserve"> été mis sur :</w:t>
            </w:r>
          </w:p>
          <w:p w14:paraId="1E66C8E8" w14:textId="77777777" w:rsidR="008828CE" w:rsidRPr="00810DAC" w:rsidRDefault="008828CE" w:rsidP="00B85536">
            <w:pPr>
              <w:pStyle w:val="Paragraphedeliste"/>
              <w:numPr>
                <w:ilvl w:val="0"/>
                <w:numId w:val="1"/>
              </w:numPr>
              <w:ind w:left="321"/>
              <w:rPr>
                <w:rFonts w:ascii="Times New Roman" w:hAnsi="Times New Roman" w:cs="Times New Roman"/>
              </w:rPr>
            </w:pPr>
            <w:r w:rsidRPr="00810DAC">
              <w:rPr>
                <w:rFonts w:ascii="Times New Roman" w:hAnsi="Times New Roman" w:cs="Times New Roman"/>
              </w:rPr>
              <w:t>La lutte contre les FFI dans le sous-secteur de l’EMAPE de l’or</w:t>
            </w:r>
          </w:p>
          <w:p w14:paraId="0E508659" w14:textId="77777777" w:rsidR="008828CE" w:rsidRDefault="005D75AE" w:rsidP="00B85536">
            <w:pPr>
              <w:pStyle w:val="Paragraphedeliste"/>
              <w:numPr>
                <w:ilvl w:val="0"/>
                <w:numId w:val="1"/>
              </w:numPr>
              <w:ind w:left="321"/>
              <w:rPr>
                <w:rFonts w:ascii="Times New Roman" w:hAnsi="Times New Roman" w:cs="Times New Roman"/>
              </w:rPr>
            </w:pPr>
            <w:r>
              <w:rPr>
                <w:rFonts w:ascii="Times New Roman" w:hAnsi="Times New Roman" w:cs="Times New Roman"/>
              </w:rPr>
              <w:t>La transparence sur le cadastre minier</w:t>
            </w:r>
          </w:p>
          <w:p w14:paraId="7744B2D2" w14:textId="53094A66" w:rsidR="005D75AE" w:rsidRPr="00810DAC" w:rsidRDefault="005D75AE" w:rsidP="00B85536">
            <w:pPr>
              <w:pStyle w:val="Paragraphedeliste"/>
              <w:numPr>
                <w:ilvl w:val="0"/>
                <w:numId w:val="1"/>
              </w:numPr>
              <w:ind w:left="321"/>
              <w:rPr>
                <w:rFonts w:ascii="Times New Roman" w:hAnsi="Times New Roman" w:cs="Times New Roman"/>
              </w:rPr>
            </w:pPr>
            <w:r>
              <w:rPr>
                <w:rFonts w:ascii="Times New Roman" w:hAnsi="Times New Roman" w:cs="Times New Roman"/>
              </w:rPr>
              <w:t>La transparence sur questions environnementales</w:t>
            </w:r>
            <w:r w:rsidR="00FA5AF4">
              <w:rPr>
                <w:rFonts w:ascii="Times New Roman" w:hAnsi="Times New Roman" w:cs="Times New Roman"/>
              </w:rPr>
              <w:t xml:space="preserve"> notamment sur le compte séquestre y relatif</w:t>
            </w:r>
          </w:p>
        </w:tc>
      </w:tr>
      <w:tr w:rsidR="008828CE" w:rsidRPr="00810DAC" w14:paraId="2D5EB6D2" w14:textId="77777777" w:rsidTr="00A12153">
        <w:tc>
          <w:tcPr>
            <w:tcW w:w="1660" w:type="dxa"/>
            <w:vMerge/>
            <w:vAlign w:val="center"/>
          </w:tcPr>
          <w:p w14:paraId="56BE0CD5" w14:textId="77777777" w:rsidR="008828CE" w:rsidRPr="00810DAC" w:rsidRDefault="008828CE">
            <w:pPr>
              <w:rPr>
                <w:rFonts w:ascii="Times New Roman" w:hAnsi="Times New Roman" w:cs="Times New Roman"/>
                <w:b/>
                <w:bCs/>
              </w:rPr>
            </w:pPr>
          </w:p>
        </w:tc>
        <w:tc>
          <w:tcPr>
            <w:tcW w:w="2172" w:type="dxa"/>
            <w:vAlign w:val="center"/>
          </w:tcPr>
          <w:p w14:paraId="53FF34D9" w14:textId="1EA03985" w:rsidR="008828CE" w:rsidRPr="00810DAC" w:rsidRDefault="008828CE">
            <w:pPr>
              <w:rPr>
                <w:rFonts w:ascii="Times New Roman" w:hAnsi="Times New Roman" w:cs="Times New Roman"/>
              </w:rPr>
            </w:pPr>
            <w:r>
              <w:rPr>
                <w:rFonts w:ascii="Times New Roman" w:hAnsi="Times New Roman" w:cs="Times New Roman"/>
              </w:rPr>
              <w:t>PARLEMENTAIRES</w:t>
            </w:r>
          </w:p>
        </w:tc>
        <w:tc>
          <w:tcPr>
            <w:tcW w:w="3271" w:type="dxa"/>
            <w:vAlign w:val="center"/>
          </w:tcPr>
          <w:p w14:paraId="009B5123" w14:textId="5FC3EA08" w:rsidR="008828CE" w:rsidRPr="00810DAC" w:rsidRDefault="008828CE" w:rsidP="00B85536">
            <w:pPr>
              <w:rPr>
                <w:rFonts w:ascii="Times New Roman" w:hAnsi="Times New Roman" w:cs="Times New Roman"/>
              </w:rPr>
            </w:pPr>
            <w:r>
              <w:rPr>
                <w:rFonts w:ascii="Times New Roman" w:hAnsi="Times New Roman" w:cs="Times New Roman"/>
              </w:rPr>
              <w:t xml:space="preserve">Tenir compte de l’incidence de la modification du </w:t>
            </w:r>
            <w:r w:rsidRPr="004B2123">
              <w:rPr>
                <w:rFonts w:ascii="Times New Roman" w:hAnsi="Times New Roman" w:cs="Times New Roman"/>
                <w:b/>
                <w:bCs/>
              </w:rPr>
              <w:t xml:space="preserve">modèle de validation ITIE </w:t>
            </w:r>
            <w:r>
              <w:rPr>
                <w:rFonts w:ascii="Times New Roman" w:hAnsi="Times New Roman" w:cs="Times New Roman"/>
              </w:rPr>
              <w:t>sur le calendr</w:t>
            </w:r>
            <w:r w:rsidR="004B2123">
              <w:rPr>
                <w:rFonts w:ascii="Times New Roman" w:hAnsi="Times New Roman" w:cs="Times New Roman"/>
              </w:rPr>
              <w:t>i</w:t>
            </w:r>
            <w:r>
              <w:rPr>
                <w:rFonts w:ascii="Times New Roman" w:hAnsi="Times New Roman" w:cs="Times New Roman"/>
              </w:rPr>
              <w:t>er de l’</w:t>
            </w:r>
            <w:r w:rsidR="004B2123">
              <w:rPr>
                <w:rFonts w:ascii="Times New Roman" w:hAnsi="Times New Roman" w:cs="Times New Roman"/>
              </w:rPr>
              <w:t>évaluation ciblée tel que prévu dans la Décision de Validation du Cameroun en 2025</w:t>
            </w:r>
          </w:p>
        </w:tc>
        <w:tc>
          <w:tcPr>
            <w:tcW w:w="2679" w:type="dxa"/>
            <w:vAlign w:val="center"/>
          </w:tcPr>
          <w:p w14:paraId="533E01BC" w14:textId="77777777" w:rsidR="008828CE" w:rsidRDefault="004B2123" w:rsidP="00BB134C">
            <w:pPr>
              <w:rPr>
                <w:rFonts w:ascii="Times New Roman" w:hAnsi="Times New Roman" w:cs="Times New Roman"/>
              </w:rPr>
            </w:pPr>
            <w:r>
              <w:rPr>
                <w:rFonts w:ascii="Times New Roman" w:hAnsi="Times New Roman" w:cs="Times New Roman"/>
              </w:rPr>
              <w:t>Un tel fait majeur a recommandé de revoir l’objectif général de la proposition de PTA 2025 en se focalisant dorénavant uniquement sur « </w:t>
            </w:r>
            <w:r w:rsidRPr="004B2123">
              <w:rPr>
                <w:rFonts w:ascii="Times New Roman" w:hAnsi="Times New Roman" w:cs="Times New Roman"/>
                <w:b/>
                <w:bCs/>
              </w:rPr>
              <w:t>le renforcement de l’engagement des parties prenantes </w:t>
            </w:r>
            <w:r>
              <w:rPr>
                <w:rFonts w:ascii="Times New Roman" w:hAnsi="Times New Roman" w:cs="Times New Roman"/>
              </w:rPr>
              <w:t>».</w:t>
            </w:r>
          </w:p>
          <w:p w14:paraId="61845932" w14:textId="3C53CE7D" w:rsidR="004B2123" w:rsidRPr="00810DAC" w:rsidRDefault="004B2123" w:rsidP="00BB134C">
            <w:pPr>
              <w:rPr>
                <w:rFonts w:ascii="Times New Roman" w:hAnsi="Times New Roman" w:cs="Times New Roman"/>
              </w:rPr>
            </w:pPr>
            <w:r>
              <w:rPr>
                <w:rFonts w:ascii="Times New Roman" w:hAnsi="Times New Roman" w:cs="Times New Roman"/>
              </w:rPr>
              <w:t>Cette contribution des Parlementaire a également recommandé de revoir un ensemble d’activité</w:t>
            </w:r>
            <w:r w:rsidR="00DA55B5">
              <w:rPr>
                <w:rFonts w:ascii="Times New Roman" w:hAnsi="Times New Roman" w:cs="Times New Roman"/>
              </w:rPr>
              <w:t>s</w:t>
            </w:r>
            <w:r>
              <w:rPr>
                <w:rFonts w:ascii="Times New Roman" w:hAnsi="Times New Roman" w:cs="Times New Roman"/>
              </w:rPr>
              <w:t xml:space="preserve"> initialement prévues dans le PTA 2025 relativement au GTSEC </w:t>
            </w:r>
          </w:p>
        </w:tc>
      </w:tr>
      <w:tr w:rsidR="00A12153" w:rsidRPr="00810DAC" w14:paraId="56162B44" w14:textId="218D2C9C" w:rsidTr="00A12153">
        <w:tc>
          <w:tcPr>
            <w:tcW w:w="1660" w:type="dxa"/>
            <w:vMerge w:val="restart"/>
            <w:vAlign w:val="center"/>
          </w:tcPr>
          <w:p w14:paraId="347621AE" w14:textId="026DC97F" w:rsidR="00A12153" w:rsidRPr="00810DAC" w:rsidRDefault="00A12153">
            <w:pPr>
              <w:rPr>
                <w:rFonts w:ascii="Times New Roman" w:hAnsi="Times New Roman" w:cs="Times New Roman"/>
                <w:b/>
                <w:bCs/>
              </w:rPr>
            </w:pPr>
            <w:r w:rsidRPr="00810DAC">
              <w:rPr>
                <w:rFonts w:ascii="Times New Roman" w:hAnsi="Times New Roman" w:cs="Times New Roman"/>
                <w:b/>
                <w:bCs/>
              </w:rPr>
              <w:t>Entreprise</w:t>
            </w:r>
          </w:p>
        </w:tc>
        <w:tc>
          <w:tcPr>
            <w:tcW w:w="2172" w:type="dxa"/>
            <w:vAlign w:val="center"/>
          </w:tcPr>
          <w:p w14:paraId="32F6E3C2" w14:textId="44FF9A3A" w:rsidR="00A12153" w:rsidRPr="00810DAC" w:rsidRDefault="00A12153">
            <w:pPr>
              <w:rPr>
                <w:rFonts w:ascii="Times New Roman" w:hAnsi="Times New Roman" w:cs="Times New Roman"/>
              </w:rPr>
            </w:pPr>
            <w:r w:rsidRPr="00810DAC">
              <w:rPr>
                <w:rFonts w:ascii="Times New Roman" w:hAnsi="Times New Roman" w:cs="Times New Roman"/>
              </w:rPr>
              <w:t>Gaz du Cameroun</w:t>
            </w:r>
          </w:p>
        </w:tc>
        <w:tc>
          <w:tcPr>
            <w:tcW w:w="3271" w:type="dxa"/>
            <w:vAlign w:val="center"/>
          </w:tcPr>
          <w:p w14:paraId="448C5142" w14:textId="313D3C39" w:rsidR="00A12153" w:rsidRPr="00810DAC" w:rsidRDefault="00A12153">
            <w:pPr>
              <w:rPr>
                <w:rFonts w:ascii="Times New Roman" w:hAnsi="Times New Roman" w:cs="Times New Roman"/>
              </w:rPr>
            </w:pPr>
            <w:r>
              <w:rPr>
                <w:rFonts w:ascii="Times New Roman" w:hAnsi="Times New Roman" w:cs="Times New Roman"/>
              </w:rPr>
              <w:t xml:space="preserve">GdC a envoyé la proposition de PTA 2025 en format </w:t>
            </w:r>
            <w:r w:rsidRPr="007B5035">
              <w:rPr>
                <w:rFonts w:ascii="Times New Roman" w:hAnsi="Times New Roman" w:cs="Times New Roman"/>
                <w:i/>
                <w:iCs/>
              </w:rPr>
              <w:t>« suivi des modifications »</w:t>
            </w:r>
          </w:p>
        </w:tc>
        <w:tc>
          <w:tcPr>
            <w:tcW w:w="2679" w:type="dxa"/>
            <w:vAlign w:val="center"/>
          </w:tcPr>
          <w:p w14:paraId="3FF51C23" w14:textId="2B086EF4" w:rsidR="00A12153" w:rsidRPr="00810DAC" w:rsidRDefault="00A12153">
            <w:pPr>
              <w:rPr>
                <w:rFonts w:ascii="Times New Roman" w:hAnsi="Times New Roman" w:cs="Times New Roman"/>
              </w:rPr>
            </w:pPr>
            <w:r>
              <w:rPr>
                <w:rFonts w:ascii="Times New Roman" w:hAnsi="Times New Roman" w:cs="Times New Roman"/>
              </w:rPr>
              <w:t>Nous avons procédé à une lecture croisée puis intégré les observations.</w:t>
            </w:r>
          </w:p>
        </w:tc>
      </w:tr>
      <w:tr w:rsidR="00A12153" w:rsidRPr="00810DAC" w14:paraId="0F75959A" w14:textId="77777777" w:rsidTr="00A12153">
        <w:tc>
          <w:tcPr>
            <w:tcW w:w="1660" w:type="dxa"/>
            <w:vMerge/>
            <w:vAlign w:val="center"/>
          </w:tcPr>
          <w:p w14:paraId="64F2F5CC" w14:textId="77777777" w:rsidR="00A12153" w:rsidRPr="00810DAC" w:rsidRDefault="00A12153">
            <w:pPr>
              <w:rPr>
                <w:rFonts w:ascii="Times New Roman" w:hAnsi="Times New Roman" w:cs="Times New Roman"/>
                <w:b/>
                <w:bCs/>
              </w:rPr>
            </w:pPr>
          </w:p>
        </w:tc>
        <w:tc>
          <w:tcPr>
            <w:tcW w:w="2172" w:type="dxa"/>
            <w:vAlign w:val="center"/>
          </w:tcPr>
          <w:p w14:paraId="57CC793C" w14:textId="4619C5C0" w:rsidR="00A12153" w:rsidRPr="00810DAC" w:rsidRDefault="00A12153">
            <w:pPr>
              <w:rPr>
                <w:rFonts w:ascii="Times New Roman" w:hAnsi="Times New Roman" w:cs="Times New Roman"/>
              </w:rPr>
            </w:pPr>
            <w:r>
              <w:rPr>
                <w:rFonts w:ascii="Times New Roman" w:hAnsi="Times New Roman" w:cs="Times New Roman"/>
              </w:rPr>
              <w:t>ADDAX Petroleum</w:t>
            </w:r>
          </w:p>
        </w:tc>
        <w:tc>
          <w:tcPr>
            <w:tcW w:w="3271" w:type="dxa"/>
            <w:vAlign w:val="center"/>
          </w:tcPr>
          <w:p w14:paraId="50A03267" w14:textId="5BBF8ACD" w:rsidR="00A12153" w:rsidRDefault="00A12153" w:rsidP="00FB4925">
            <w:pPr>
              <w:pStyle w:val="Paragraphedeliste"/>
              <w:numPr>
                <w:ilvl w:val="0"/>
                <w:numId w:val="1"/>
              </w:numPr>
              <w:ind w:left="309"/>
              <w:rPr>
                <w:rFonts w:ascii="Times New Roman" w:hAnsi="Times New Roman" w:cs="Times New Roman"/>
              </w:rPr>
            </w:pPr>
            <w:r w:rsidRPr="00FB4925">
              <w:rPr>
                <w:rFonts w:ascii="Times New Roman" w:hAnsi="Times New Roman" w:cs="Times New Roman"/>
              </w:rPr>
              <w:t>Claireme</w:t>
            </w:r>
            <w:r w:rsidR="00FB4925" w:rsidRPr="00FB4925">
              <w:rPr>
                <w:rFonts w:ascii="Times New Roman" w:hAnsi="Times New Roman" w:cs="Times New Roman"/>
              </w:rPr>
              <w:t>n</w:t>
            </w:r>
            <w:r w:rsidRPr="00FB4925">
              <w:rPr>
                <w:rFonts w:ascii="Times New Roman" w:hAnsi="Times New Roman" w:cs="Times New Roman"/>
              </w:rPr>
              <w:t xml:space="preserve">t </w:t>
            </w:r>
            <w:r w:rsidR="00FB4925">
              <w:rPr>
                <w:rFonts w:ascii="Times New Roman" w:hAnsi="Times New Roman" w:cs="Times New Roman"/>
              </w:rPr>
              <w:t xml:space="preserve">faire </w:t>
            </w:r>
            <w:r w:rsidRPr="00FB4925">
              <w:rPr>
                <w:rFonts w:ascii="Times New Roman" w:hAnsi="Times New Roman" w:cs="Times New Roman"/>
              </w:rPr>
              <w:t>ressortir l’objectif général du PTA 2025 dans la matrice</w:t>
            </w:r>
          </w:p>
          <w:p w14:paraId="34EEBDFE" w14:textId="4772930E" w:rsidR="00FB4925" w:rsidRDefault="00FB4925" w:rsidP="00FB4925">
            <w:pPr>
              <w:pStyle w:val="Paragraphedeliste"/>
              <w:numPr>
                <w:ilvl w:val="0"/>
                <w:numId w:val="1"/>
              </w:numPr>
              <w:ind w:left="309"/>
              <w:rPr>
                <w:rFonts w:ascii="Times New Roman" w:hAnsi="Times New Roman" w:cs="Times New Roman"/>
              </w:rPr>
            </w:pPr>
            <w:r>
              <w:rPr>
                <w:rFonts w:ascii="Times New Roman" w:hAnsi="Times New Roman" w:cs="Times New Roman"/>
              </w:rPr>
              <w:t>Réviser la Note de présentation du projet de PTA 2025 en faisant ressortir les objectifs prioritaires</w:t>
            </w:r>
            <w:r w:rsidR="006D3E95">
              <w:rPr>
                <w:rFonts w:ascii="Times New Roman" w:hAnsi="Times New Roman" w:cs="Times New Roman"/>
              </w:rPr>
              <w:t xml:space="preserve"> du PTA</w:t>
            </w:r>
          </w:p>
          <w:p w14:paraId="3DF596B9" w14:textId="11805DF9" w:rsidR="00FB4925" w:rsidRDefault="00FB4925" w:rsidP="00FB4925">
            <w:pPr>
              <w:pStyle w:val="Paragraphedeliste"/>
              <w:numPr>
                <w:ilvl w:val="0"/>
                <w:numId w:val="1"/>
              </w:numPr>
              <w:ind w:left="309"/>
              <w:rPr>
                <w:rFonts w:ascii="Times New Roman" w:hAnsi="Times New Roman" w:cs="Times New Roman"/>
              </w:rPr>
            </w:pPr>
            <w:r>
              <w:rPr>
                <w:rFonts w:ascii="Times New Roman" w:hAnsi="Times New Roman" w:cs="Times New Roman"/>
              </w:rPr>
              <w:t>Actualiser la partie contexte de la Note de présentation en relevant la révision du modèle de validation ITIE</w:t>
            </w:r>
          </w:p>
          <w:p w14:paraId="04A1E3CA" w14:textId="5F977E12" w:rsidR="006D3E95" w:rsidRDefault="006D3E95" w:rsidP="00FB4925">
            <w:pPr>
              <w:pStyle w:val="Paragraphedeliste"/>
              <w:numPr>
                <w:ilvl w:val="0"/>
                <w:numId w:val="1"/>
              </w:numPr>
              <w:ind w:left="309"/>
              <w:rPr>
                <w:rFonts w:ascii="Times New Roman" w:hAnsi="Times New Roman" w:cs="Times New Roman"/>
              </w:rPr>
            </w:pPr>
            <w:r>
              <w:rPr>
                <w:rFonts w:ascii="Times New Roman" w:hAnsi="Times New Roman" w:cs="Times New Roman"/>
              </w:rPr>
              <w:t>Prévoir un paragraphe sur le budget du PTA dans la Note de présentation</w:t>
            </w:r>
          </w:p>
          <w:p w14:paraId="5A53E2BD" w14:textId="7DC579F2" w:rsidR="00FB4925" w:rsidRPr="00FB4925" w:rsidRDefault="00FB4925" w:rsidP="00FB4925">
            <w:pPr>
              <w:pStyle w:val="Paragraphedeliste"/>
              <w:numPr>
                <w:ilvl w:val="0"/>
                <w:numId w:val="1"/>
              </w:numPr>
              <w:ind w:left="309"/>
              <w:rPr>
                <w:rFonts w:ascii="Times New Roman" w:hAnsi="Times New Roman" w:cs="Times New Roman"/>
              </w:rPr>
            </w:pPr>
            <w:r>
              <w:rPr>
                <w:rFonts w:ascii="Times New Roman" w:hAnsi="Times New Roman" w:cs="Times New Roman"/>
              </w:rPr>
              <w:t>Produire un tableau qui ressort de manière résumé les contributions des différents collèges ainsi que le niveau de leur prise en compte dans le projet de PTA 2025</w:t>
            </w:r>
          </w:p>
        </w:tc>
        <w:tc>
          <w:tcPr>
            <w:tcW w:w="2679" w:type="dxa"/>
            <w:vAlign w:val="center"/>
          </w:tcPr>
          <w:p w14:paraId="5F2E54BC" w14:textId="1190DEF1" w:rsidR="00A12153" w:rsidRDefault="00FB4925">
            <w:pPr>
              <w:rPr>
                <w:rFonts w:ascii="Times New Roman" w:hAnsi="Times New Roman" w:cs="Times New Roman"/>
              </w:rPr>
            </w:pPr>
            <w:r>
              <w:rPr>
                <w:rFonts w:ascii="Times New Roman" w:hAnsi="Times New Roman" w:cs="Times New Roman"/>
              </w:rPr>
              <w:t>Toutes ces recommandations de ADDAX Petroleum ont été prise en compte</w:t>
            </w:r>
          </w:p>
        </w:tc>
      </w:tr>
      <w:tr w:rsidR="00890669" w:rsidRPr="00810DAC" w14:paraId="560C668A" w14:textId="39453EC9" w:rsidTr="00A12153">
        <w:tc>
          <w:tcPr>
            <w:tcW w:w="1660" w:type="dxa"/>
            <w:vAlign w:val="center"/>
          </w:tcPr>
          <w:p w14:paraId="2B86A4D3" w14:textId="75DB2581" w:rsidR="00890669" w:rsidRPr="00810DAC" w:rsidRDefault="00890669">
            <w:pPr>
              <w:rPr>
                <w:rFonts w:ascii="Times New Roman" w:hAnsi="Times New Roman" w:cs="Times New Roman"/>
                <w:b/>
                <w:bCs/>
              </w:rPr>
            </w:pPr>
            <w:r w:rsidRPr="00810DAC">
              <w:rPr>
                <w:rFonts w:ascii="Times New Roman" w:hAnsi="Times New Roman" w:cs="Times New Roman"/>
                <w:b/>
                <w:bCs/>
              </w:rPr>
              <w:lastRenderedPageBreak/>
              <w:t>Société civile</w:t>
            </w:r>
          </w:p>
        </w:tc>
        <w:tc>
          <w:tcPr>
            <w:tcW w:w="2172" w:type="dxa"/>
            <w:vAlign w:val="center"/>
          </w:tcPr>
          <w:p w14:paraId="676DF350" w14:textId="45AE41D5" w:rsidR="00890669" w:rsidRPr="00810DAC" w:rsidRDefault="00890669">
            <w:pPr>
              <w:rPr>
                <w:rFonts w:ascii="Times New Roman" w:hAnsi="Times New Roman" w:cs="Times New Roman"/>
              </w:rPr>
            </w:pPr>
            <w:r w:rsidRPr="00810DAC">
              <w:rPr>
                <w:rFonts w:ascii="Times New Roman" w:hAnsi="Times New Roman" w:cs="Times New Roman"/>
              </w:rPr>
              <w:t>Plateforme des organisations de la société civile impliquées dans le suivi de la gouvernance des industries extractives au Cameroun</w:t>
            </w:r>
          </w:p>
        </w:tc>
        <w:tc>
          <w:tcPr>
            <w:tcW w:w="3271" w:type="dxa"/>
            <w:vAlign w:val="center"/>
          </w:tcPr>
          <w:p w14:paraId="04FDD2C8" w14:textId="77777777" w:rsidR="00890669" w:rsidRPr="00810DAC" w:rsidRDefault="00890669">
            <w:pPr>
              <w:rPr>
                <w:rFonts w:ascii="Times New Roman" w:hAnsi="Times New Roman" w:cs="Times New Roman"/>
              </w:rPr>
            </w:pPr>
          </w:p>
          <w:p w14:paraId="2BAE1160" w14:textId="5C090510" w:rsidR="00890669" w:rsidRPr="00810DAC" w:rsidRDefault="00890669" w:rsidP="00580663">
            <w:pPr>
              <w:rPr>
                <w:rFonts w:ascii="Times New Roman" w:hAnsi="Times New Roman" w:cs="Times New Roman"/>
              </w:rPr>
            </w:pPr>
            <w:r w:rsidRPr="00810DAC">
              <w:rPr>
                <w:rFonts w:ascii="Times New Roman" w:hAnsi="Times New Roman" w:cs="Times New Roman"/>
              </w:rPr>
              <w:t>La société civile a examiné le Plan de travail 2023-2025 et a fait ses propositions dessus.</w:t>
            </w:r>
            <w:r w:rsidR="004843FE">
              <w:rPr>
                <w:rFonts w:ascii="Times New Roman" w:hAnsi="Times New Roman" w:cs="Times New Roman"/>
              </w:rPr>
              <w:t xml:space="preserve"> Ledit document a été mis à la disposition du GTSEC.</w:t>
            </w:r>
          </w:p>
          <w:p w14:paraId="7B757940" w14:textId="77777777" w:rsidR="00890669" w:rsidRPr="00810DAC" w:rsidRDefault="00890669" w:rsidP="00580663">
            <w:pPr>
              <w:rPr>
                <w:rFonts w:ascii="Times New Roman" w:hAnsi="Times New Roman" w:cs="Times New Roman"/>
              </w:rPr>
            </w:pPr>
          </w:p>
          <w:p w14:paraId="001C3AE7" w14:textId="1AC4147F" w:rsidR="00890669" w:rsidRPr="00810DAC" w:rsidRDefault="00890669" w:rsidP="00580663">
            <w:pPr>
              <w:rPr>
                <w:rFonts w:ascii="Times New Roman" w:hAnsi="Times New Roman" w:cs="Times New Roman"/>
              </w:rPr>
            </w:pPr>
            <w:r w:rsidRPr="00810DAC">
              <w:rPr>
                <w:rFonts w:ascii="Times New Roman" w:hAnsi="Times New Roman" w:cs="Times New Roman"/>
              </w:rPr>
              <w:t>Relativement au questionnaire sur les priorités nationales, les OSC ont recommandé de tenir compte de leur proposition de planification des activités.</w:t>
            </w:r>
          </w:p>
        </w:tc>
        <w:tc>
          <w:tcPr>
            <w:tcW w:w="2679" w:type="dxa"/>
            <w:vAlign w:val="center"/>
          </w:tcPr>
          <w:p w14:paraId="72CDE453" w14:textId="77777777" w:rsidR="00890669" w:rsidRPr="00810DAC" w:rsidRDefault="00890669">
            <w:pPr>
              <w:rPr>
                <w:rFonts w:ascii="Times New Roman" w:hAnsi="Times New Roman" w:cs="Times New Roman"/>
              </w:rPr>
            </w:pPr>
          </w:p>
          <w:p w14:paraId="30867738" w14:textId="5086D460" w:rsidR="00890669" w:rsidRPr="00810DAC" w:rsidRDefault="00890669" w:rsidP="00890669">
            <w:pPr>
              <w:jc w:val="both"/>
              <w:rPr>
                <w:rFonts w:ascii="Times New Roman" w:hAnsi="Times New Roman" w:cs="Times New Roman"/>
              </w:rPr>
            </w:pPr>
            <w:r w:rsidRPr="00810DAC">
              <w:rPr>
                <w:rFonts w:ascii="Times New Roman" w:hAnsi="Times New Roman" w:cs="Times New Roman"/>
              </w:rPr>
              <w:t>Il a été question de procéder à une lecture croisée entre les propositions</w:t>
            </w:r>
            <w:r w:rsidRPr="00810DAC">
              <w:rPr>
                <w:rFonts w:ascii="Times New Roman" w:hAnsi="Times New Roman" w:cs="Times New Roman"/>
              </w:rPr>
              <w:t xml:space="preserve"> des OSCs</w:t>
            </w:r>
            <w:r w:rsidRPr="00810DAC">
              <w:rPr>
                <w:rFonts w:ascii="Times New Roman" w:hAnsi="Times New Roman" w:cs="Times New Roman"/>
              </w:rPr>
              <w:t xml:space="preserve"> sur le PT 2023-2025 </w:t>
            </w:r>
            <w:r w:rsidRPr="00810DAC">
              <w:rPr>
                <w:rFonts w:ascii="Times New Roman" w:hAnsi="Times New Roman" w:cs="Times New Roman"/>
              </w:rPr>
              <w:t>et</w:t>
            </w:r>
            <w:r w:rsidRPr="00810DAC">
              <w:rPr>
                <w:rFonts w:ascii="Times New Roman" w:hAnsi="Times New Roman" w:cs="Times New Roman"/>
              </w:rPr>
              <w:t xml:space="preserve"> la proposition de PTA 2025</w:t>
            </w:r>
            <w:r w:rsidR="00DA55B5">
              <w:rPr>
                <w:rFonts w:ascii="Times New Roman" w:hAnsi="Times New Roman" w:cs="Times New Roman"/>
              </w:rPr>
              <w:t xml:space="preserve">. De cette lecture croisée, il est ressorti l’importance de la prise en compte des activités de gestion administrative et financière du Secrétariat Permanent dont la finalisation de la régularisation du cadre contractuel des personnels ITIE et la signature de l’acte de nomination du Secrétaire Permanent </w:t>
            </w:r>
            <w:r w:rsidR="00D92FD6">
              <w:rPr>
                <w:rFonts w:ascii="Times New Roman" w:hAnsi="Times New Roman" w:cs="Times New Roman"/>
              </w:rPr>
              <w:t>c</w:t>
            </w:r>
            <w:r w:rsidR="00630092">
              <w:rPr>
                <w:rFonts w:ascii="Times New Roman" w:hAnsi="Times New Roman" w:cs="Times New Roman"/>
              </w:rPr>
              <w:t>o</w:t>
            </w:r>
            <w:r w:rsidR="00D92FD6">
              <w:rPr>
                <w:rFonts w:ascii="Times New Roman" w:hAnsi="Times New Roman" w:cs="Times New Roman"/>
              </w:rPr>
              <w:t>nformément a</w:t>
            </w:r>
            <w:r w:rsidR="006501A5">
              <w:rPr>
                <w:rFonts w:ascii="Times New Roman" w:hAnsi="Times New Roman" w:cs="Times New Roman"/>
              </w:rPr>
              <w:t>u</w:t>
            </w:r>
            <w:r w:rsidR="00D92FD6">
              <w:rPr>
                <w:rFonts w:ascii="Times New Roman" w:hAnsi="Times New Roman" w:cs="Times New Roman"/>
              </w:rPr>
              <w:t xml:space="preserve"> Décret ITIE de 2024 ainsi que le statut du personnel ITIE</w:t>
            </w:r>
            <w:r w:rsidR="00DA55B5">
              <w:rPr>
                <w:rFonts w:ascii="Times New Roman" w:hAnsi="Times New Roman" w:cs="Times New Roman"/>
              </w:rPr>
              <w:t>.</w:t>
            </w:r>
          </w:p>
        </w:tc>
      </w:tr>
    </w:tbl>
    <w:p w14:paraId="5AC4F562" w14:textId="77777777" w:rsidR="0014564B" w:rsidRPr="00810DAC" w:rsidRDefault="0014564B">
      <w:pPr>
        <w:rPr>
          <w:rFonts w:ascii="Times New Roman" w:hAnsi="Times New Roman" w:cs="Times New Roman"/>
        </w:rPr>
      </w:pPr>
    </w:p>
    <w:sectPr w:rsidR="0014564B" w:rsidRPr="00810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CD1"/>
    <w:multiLevelType w:val="hybridMultilevel"/>
    <w:tmpl w:val="1270BA9E"/>
    <w:lvl w:ilvl="0" w:tplc="C2E459D8">
      <w:start w:val="9"/>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2F036C"/>
    <w:multiLevelType w:val="hybridMultilevel"/>
    <w:tmpl w:val="64520018"/>
    <w:lvl w:ilvl="0" w:tplc="745663BA">
      <w:start w:val="9"/>
      <w:numFmt w:val="bullet"/>
      <w:lvlText w:val="-"/>
      <w:lvlJc w:val="left"/>
      <w:pPr>
        <w:ind w:left="681" w:hanging="360"/>
      </w:pPr>
      <w:rPr>
        <w:rFonts w:ascii="Times New Roman" w:eastAsiaTheme="minorHAnsi" w:hAnsi="Times New Roman" w:cs="Times New Roman" w:hint="default"/>
      </w:rPr>
    </w:lvl>
    <w:lvl w:ilvl="1" w:tplc="040C0003" w:tentative="1">
      <w:start w:val="1"/>
      <w:numFmt w:val="bullet"/>
      <w:lvlText w:val="o"/>
      <w:lvlJc w:val="left"/>
      <w:pPr>
        <w:ind w:left="1401" w:hanging="360"/>
      </w:pPr>
      <w:rPr>
        <w:rFonts w:ascii="Courier New" w:hAnsi="Courier New" w:cs="Courier New" w:hint="default"/>
      </w:rPr>
    </w:lvl>
    <w:lvl w:ilvl="2" w:tplc="040C0005" w:tentative="1">
      <w:start w:val="1"/>
      <w:numFmt w:val="bullet"/>
      <w:lvlText w:val=""/>
      <w:lvlJc w:val="left"/>
      <w:pPr>
        <w:ind w:left="2121" w:hanging="360"/>
      </w:pPr>
      <w:rPr>
        <w:rFonts w:ascii="Wingdings" w:hAnsi="Wingdings" w:hint="default"/>
      </w:rPr>
    </w:lvl>
    <w:lvl w:ilvl="3" w:tplc="040C0001" w:tentative="1">
      <w:start w:val="1"/>
      <w:numFmt w:val="bullet"/>
      <w:lvlText w:val=""/>
      <w:lvlJc w:val="left"/>
      <w:pPr>
        <w:ind w:left="2841" w:hanging="360"/>
      </w:pPr>
      <w:rPr>
        <w:rFonts w:ascii="Symbol" w:hAnsi="Symbol" w:hint="default"/>
      </w:rPr>
    </w:lvl>
    <w:lvl w:ilvl="4" w:tplc="040C0003" w:tentative="1">
      <w:start w:val="1"/>
      <w:numFmt w:val="bullet"/>
      <w:lvlText w:val="o"/>
      <w:lvlJc w:val="left"/>
      <w:pPr>
        <w:ind w:left="3561" w:hanging="360"/>
      </w:pPr>
      <w:rPr>
        <w:rFonts w:ascii="Courier New" w:hAnsi="Courier New" w:cs="Courier New" w:hint="default"/>
      </w:rPr>
    </w:lvl>
    <w:lvl w:ilvl="5" w:tplc="040C0005" w:tentative="1">
      <w:start w:val="1"/>
      <w:numFmt w:val="bullet"/>
      <w:lvlText w:val=""/>
      <w:lvlJc w:val="left"/>
      <w:pPr>
        <w:ind w:left="4281" w:hanging="360"/>
      </w:pPr>
      <w:rPr>
        <w:rFonts w:ascii="Wingdings" w:hAnsi="Wingdings" w:hint="default"/>
      </w:rPr>
    </w:lvl>
    <w:lvl w:ilvl="6" w:tplc="040C0001" w:tentative="1">
      <w:start w:val="1"/>
      <w:numFmt w:val="bullet"/>
      <w:lvlText w:val=""/>
      <w:lvlJc w:val="left"/>
      <w:pPr>
        <w:ind w:left="5001" w:hanging="360"/>
      </w:pPr>
      <w:rPr>
        <w:rFonts w:ascii="Symbol" w:hAnsi="Symbol" w:hint="default"/>
      </w:rPr>
    </w:lvl>
    <w:lvl w:ilvl="7" w:tplc="040C0003" w:tentative="1">
      <w:start w:val="1"/>
      <w:numFmt w:val="bullet"/>
      <w:lvlText w:val="o"/>
      <w:lvlJc w:val="left"/>
      <w:pPr>
        <w:ind w:left="5721" w:hanging="360"/>
      </w:pPr>
      <w:rPr>
        <w:rFonts w:ascii="Courier New" w:hAnsi="Courier New" w:cs="Courier New" w:hint="default"/>
      </w:rPr>
    </w:lvl>
    <w:lvl w:ilvl="8" w:tplc="040C0005" w:tentative="1">
      <w:start w:val="1"/>
      <w:numFmt w:val="bullet"/>
      <w:lvlText w:val=""/>
      <w:lvlJc w:val="left"/>
      <w:pPr>
        <w:ind w:left="644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4B"/>
    <w:rsid w:val="0014564B"/>
    <w:rsid w:val="002A790F"/>
    <w:rsid w:val="00340A42"/>
    <w:rsid w:val="004843FE"/>
    <w:rsid w:val="004B2123"/>
    <w:rsid w:val="00536868"/>
    <w:rsid w:val="005502BD"/>
    <w:rsid w:val="00557350"/>
    <w:rsid w:val="00580663"/>
    <w:rsid w:val="005D75AE"/>
    <w:rsid w:val="00630092"/>
    <w:rsid w:val="006501A5"/>
    <w:rsid w:val="006D3E95"/>
    <w:rsid w:val="007B5035"/>
    <w:rsid w:val="00810DAC"/>
    <w:rsid w:val="00852B28"/>
    <w:rsid w:val="00867D80"/>
    <w:rsid w:val="008828CE"/>
    <w:rsid w:val="00890669"/>
    <w:rsid w:val="009228AF"/>
    <w:rsid w:val="00A12153"/>
    <w:rsid w:val="00B85536"/>
    <w:rsid w:val="00BB134C"/>
    <w:rsid w:val="00D92FD6"/>
    <w:rsid w:val="00DA55B5"/>
    <w:rsid w:val="00EC7E9F"/>
    <w:rsid w:val="00FA5AF4"/>
    <w:rsid w:val="00FB49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4628"/>
  <w15:chartTrackingRefBased/>
  <w15:docId w15:val="{3B536895-1381-41CD-B074-9C52510C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45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80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747</Words>
  <Characters>4112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2025-04-09T16:56:00Z</dcterms:created>
  <dcterms:modified xsi:type="dcterms:W3CDTF">2025-04-09T18:11:00Z</dcterms:modified>
</cp:coreProperties>
</file>