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FB746" w14:textId="73009CBF" w:rsidR="00A5508D" w:rsidRPr="00A5508D" w:rsidRDefault="00A5508D" w:rsidP="00A5508D">
      <w:pPr>
        <w:spacing w:after="0" w:line="259" w:lineRule="auto"/>
        <w:rPr>
          <w:rFonts w:ascii="Times New Roman" w:hAnsi="Times New Roman" w:cs="Times New Roman"/>
          <w:sz w:val="20"/>
          <w:lang w:val="fr-FR"/>
        </w:rPr>
      </w:pPr>
    </w:p>
    <w:tbl>
      <w:tblPr>
        <w:tblW w:w="10035" w:type="dxa"/>
        <w:jc w:val="center"/>
        <w:tblLook w:val="04A0" w:firstRow="1" w:lastRow="0" w:firstColumn="1" w:lastColumn="0" w:noHBand="0" w:noVBand="1"/>
      </w:tblPr>
      <w:tblGrid>
        <w:gridCol w:w="4253"/>
        <w:gridCol w:w="5782"/>
      </w:tblGrid>
      <w:tr w:rsidR="00A5508D" w:rsidRPr="00A5508D" w14:paraId="33757D14" w14:textId="77777777">
        <w:trPr>
          <w:trHeight w:val="1610"/>
          <w:jc w:val="center"/>
        </w:trPr>
        <w:tc>
          <w:tcPr>
            <w:tcW w:w="4253" w:type="dxa"/>
          </w:tcPr>
          <w:p w14:paraId="4016A6F6" w14:textId="543ABC35" w:rsidR="00A5508D" w:rsidRPr="00A5508D" w:rsidRDefault="00343B3C" w:rsidP="00A5508D">
            <w:pPr>
              <w:tabs>
                <w:tab w:val="left" w:pos="709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  <w:lang w:val="fr-FR"/>
              </w:rPr>
            </w:pPr>
            <w:r>
              <w:rPr>
                <w:noProof/>
              </w:rPr>
              <w:pict w14:anchorId="4F9654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03.2pt;margin-top:1.35pt;width:66pt;height:44.25pt;z-index:251659264;mso-position-horizontal-relative:text;mso-position-vertical-relative:text;mso-width-relative:page;mso-height-relative:page">
                  <v:imagedata r:id="rId8" o:title="Logo-Eiti"/>
                </v:shape>
              </w:pict>
            </w:r>
            <w:r w:rsidR="00A5508D" w:rsidRPr="00A5508D">
              <w:rPr>
                <w:rFonts w:ascii="Times New Roman" w:hAnsi="Times New Roman" w:cs="Times New Roman"/>
                <w:b/>
                <w:sz w:val="16"/>
                <w:szCs w:val="20"/>
                <w:lang w:val="fr-FR"/>
              </w:rPr>
              <w:t>REPUBLIQUE DU CAMEROUN</w:t>
            </w:r>
          </w:p>
          <w:p w14:paraId="400FFD7D" w14:textId="77777777" w:rsidR="00A5508D" w:rsidRPr="00A5508D" w:rsidRDefault="00A5508D" w:rsidP="00A5508D">
            <w:pPr>
              <w:tabs>
                <w:tab w:val="left" w:pos="709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  <w:lang w:val="fr-FR"/>
              </w:rPr>
            </w:pPr>
            <w:r w:rsidRPr="00A5508D">
              <w:rPr>
                <w:rFonts w:ascii="Times New Roman" w:hAnsi="Times New Roman" w:cs="Times New Roman"/>
                <w:sz w:val="16"/>
                <w:szCs w:val="20"/>
                <w:lang w:val="fr-FR"/>
              </w:rPr>
              <w:t>Paix – Travail – Patrie</w:t>
            </w:r>
          </w:p>
          <w:p w14:paraId="407C813F" w14:textId="77777777" w:rsidR="00A5508D" w:rsidRPr="00A5508D" w:rsidRDefault="00A5508D" w:rsidP="00A5508D">
            <w:pPr>
              <w:tabs>
                <w:tab w:val="left" w:pos="709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  <w:lang w:val="fr-FR"/>
              </w:rPr>
            </w:pPr>
            <w:r w:rsidRPr="00A5508D">
              <w:rPr>
                <w:rFonts w:ascii="Times New Roman" w:hAnsi="Times New Roman" w:cs="Times New Roman"/>
                <w:sz w:val="16"/>
                <w:szCs w:val="20"/>
                <w:lang w:val="fr-FR"/>
              </w:rPr>
              <w:t>------------</w:t>
            </w:r>
          </w:p>
          <w:p w14:paraId="037729C1" w14:textId="77777777" w:rsidR="00A5508D" w:rsidRPr="00A5508D" w:rsidRDefault="00A5508D" w:rsidP="00A5508D">
            <w:pPr>
              <w:tabs>
                <w:tab w:val="left" w:pos="709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  <w:lang w:val="fr-FR"/>
              </w:rPr>
            </w:pPr>
            <w:r w:rsidRPr="00A5508D">
              <w:rPr>
                <w:rFonts w:ascii="Times New Roman" w:hAnsi="Times New Roman" w:cs="Times New Roman"/>
                <w:sz w:val="16"/>
                <w:szCs w:val="20"/>
                <w:lang w:val="fr-FR"/>
              </w:rPr>
              <w:t>MINISTERE DES FINANCES</w:t>
            </w:r>
          </w:p>
          <w:p w14:paraId="0D8978C1" w14:textId="77777777" w:rsidR="00A5508D" w:rsidRPr="00A5508D" w:rsidRDefault="00A5508D" w:rsidP="00A5508D">
            <w:pPr>
              <w:tabs>
                <w:tab w:val="left" w:pos="709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  <w:lang w:val="fr-FR"/>
              </w:rPr>
            </w:pPr>
            <w:r w:rsidRPr="00A5508D">
              <w:rPr>
                <w:rFonts w:ascii="Times New Roman" w:hAnsi="Times New Roman" w:cs="Times New Roman"/>
                <w:sz w:val="16"/>
                <w:szCs w:val="20"/>
                <w:lang w:val="fr-FR"/>
              </w:rPr>
              <w:t>------------</w:t>
            </w:r>
          </w:p>
          <w:p w14:paraId="6DEA3AF5" w14:textId="77777777" w:rsidR="00A5508D" w:rsidRPr="00A5508D" w:rsidRDefault="00A5508D" w:rsidP="00A5508D">
            <w:pPr>
              <w:tabs>
                <w:tab w:val="left" w:pos="709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  <w:lang w:val="fr-FR"/>
              </w:rPr>
            </w:pPr>
            <w:r w:rsidRPr="00A5508D">
              <w:rPr>
                <w:rFonts w:ascii="Times New Roman" w:hAnsi="Times New Roman" w:cs="Times New Roman"/>
                <w:sz w:val="16"/>
                <w:szCs w:val="20"/>
                <w:lang w:val="fr-FR"/>
              </w:rPr>
              <w:t>MINISTERE DES MINES, DE L’INDUSTRIE ET DU DEVELOPPEMENT TECHNOLOGIQUE</w:t>
            </w:r>
          </w:p>
          <w:p w14:paraId="4DE4C7B5" w14:textId="77777777" w:rsidR="00A5508D" w:rsidRPr="00A5508D" w:rsidRDefault="00A5508D" w:rsidP="00A5508D">
            <w:pPr>
              <w:tabs>
                <w:tab w:val="left" w:pos="709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  <w:lang w:val="fr-FR"/>
              </w:rPr>
            </w:pPr>
          </w:p>
          <w:p w14:paraId="5CCE4A96" w14:textId="77777777" w:rsidR="00A5508D" w:rsidRPr="00A5508D" w:rsidRDefault="00A5508D" w:rsidP="00A5508D">
            <w:pPr>
              <w:tabs>
                <w:tab w:val="left" w:pos="709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  <w:lang w:val="fr-FR"/>
              </w:rPr>
            </w:pPr>
            <w:r w:rsidRPr="00A5508D">
              <w:rPr>
                <w:rFonts w:ascii="Times New Roman" w:hAnsi="Times New Roman" w:cs="Times New Roman"/>
                <w:b/>
                <w:sz w:val="16"/>
                <w:szCs w:val="24"/>
                <w:lang w:val="fr-FR"/>
              </w:rPr>
              <w:t>COMITE ITIE</w:t>
            </w:r>
          </w:p>
          <w:p w14:paraId="7110428B" w14:textId="77777777" w:rsidR="00A5508D" w:rsidRPr="00A5508D" w:rsidRDefault="00A5508D" w:rsidP="00A5508D">
            <w:pPr>
              <w:tabs>
                <w:tab w:val="left" w:pos="709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  <w:lang w:val="fr-FR"/>
              </w:rPr>
            </w:pPr>
            <w:r w:rsidRPr="00A5508D">
              <w:rPr>
                <w:rFonts w:ascii="Times New Roman" w:hAnsi="Times New Roman" w:cs="Times New Roman"/>
                <w:sz w:val="16"/>
                <w:szCs w:val="20"/>
                <w:lang w:val="fr-FR"/>
              </w:rPr>
              <w:t>-------------</w:t>
            </w:r>
          </w:p>
          <w:p w14:paraId="17D5B779" w14:textId="77777777" w:rsidR="00A5508D" w:rsidRPr="00A5508D" w:rsidRDefault="00A5508D" w:rsidP="00A5508D">
            <w:pPr>
              <w:tabs>
                <w:tab w:val="left" w:pos="709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  <w:lang w:val="fr-FR"/>
              </w:rPr>
            </w:pPr>
            <w:r w:rsidRPr="00A5508D">
              <w:rPr>
                <w:rFonts w:ascii="Times New Roman" w:hAnsi="Times New Roman" w:cs="Times New Roman"/>
                <w:sz w:val="16"/>
                <w:szCs w:val="20"/>
                <w:lang w:val="fr-FR"/>
              </w:rPr>
              <w:t>GPA</w:t>
            </w:r>
          </w:p>
        </w:tc>
        <w:tc>
          <w:tcPr>
            <w:tcW w:w="5782" w:type="dxa"/>
          </w:tcPr>
          <w:p w14:paraId="7CEC62DD" w14:textId="61448F60" w:rsidR="00A5508D" w:rsidRPr="00A5508D" w:rsidRDefault="00A5508D" w:rsidP="00A5508D">
            <w:pPr>
              <w:tabs>
                <w:tab w:val="left" w:pos="709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  <w:lang w:val="en-GB"/>
              </w:rPr>
            </w:pPr>
            <w:r w:rsidRPr="00A5508D">
              <w:rPr>
                <w:rFonts w:ascii="Times New Roman" w:hAnsi="Times New Roman" w:cs="Times New Roman"/>
                <w:b/>
                <w:sz w:val="16"/>
                <w:szCs w:val="20"/>
                <w:lang w:val="en-GB"/>
              </w:rPr>
              <w:t xml:space="preserve">      REPUBLIC OF CAMEROON</w:t>
            </w:r>
          </w:p>
          <w:p w14:paraId="1399A42F" w14:textId="151EA8B4" w:rsidR="00A5508D" w:rsidRPr="00A5508D" w:rsidRDefault="00A5508D" w:rsidP="00A5508D">
            <w:pPr>
              <w:tabs>
                <w:tab w:val="left" w:pos="709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  <w:lang w:val="en-GB"/>
              </w:rPr>
            </w:pPr>
            <w:r w:rsidRPr="00A5508D">
              <w:rPr>
                <w:rFonts w:ascii="Times New Roman" w:hAnsi="Times New Roman" w:cs="Times New Roman"/>
                <w:sz w:val="16"/>
                <w:szCs w:val="20"/>
                <w:lang w:val="en-GB"/>
              </w:rPr>
              <w:t xml:space="preserve">        Peace – Work – Fatherland</w:t>
            </w:r>
          </w:p>
          <w:p w14:paraId="083C6822" w14:textId="77777777" w:rsidR="00A5508D" w:rsidRPr="00A5508D" w:rsidRDefault="00A5508D" w:rsidP="00A5508D">
            <w:pPr>
              <w:tabs>
                <w:tab w:val="left" w:pos="709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  <w:lang w:val="en-GB"/>
              </w:rPr>
            </w:pPr>
            <w:r w:rsidRPr="00A5508D">
              <w:rPr>
                <w:rFonts w:ascii="Times New Roman" w:hAnsi="Times New Roman" w:cs="Times New Roman"/>
                <w:sz w:val="16"/>
                <w:szCs w:val="20"/>
                <w:lang w:val="en-GB"/>
              </w:rPr>
              <w:t>------------</w:t>
            </w:r>
            <w:bookmarkStart w:id="0" w:name="_GoBack"/>
            <w:bookmarkEnd w:id="0"/>
          </w:p>
          <w:p w14:paraId="107397A7" w14:textId="77777777" w:rsidR="00A5508D" w:rsidRPr="00A5508D" w:rsidRDefault="00A5508D" w:rsidP="00A5508D">
            <w:pPr>
              <w:tabs>
                <w:tab w:val="left" w:pos="709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  <w:lang w:val="en-GB"/>
              </w:rPr>
            </w:pPr>
            <w:r w:rsidRPr="00A5508D">
              <w:rPr>
                <w:rFonts w:ascii="Times New Roman" w:hAnsi="Times New Roman" w:cs="Times New Roman"/>
                <w:sz w:val="16"/>
                <w:szCs w:val="20"/>
                <w:lang w:val="en-GB"/>
              </w:rPr>
              <w:t xml:space="preserve">        MINISTRY OF FINANCE</w:t>
            </w:r>
          </w:p>
          <w:p w14:paraId="3D8D9718" w14:textId="77777777" w:rsidR="00A5508D" w:rsidRPr="00A5508D" w:rsidRDefault="00A5508D" w:rsidP="00A5508D">
            <w:pPr>
              <w:tabs>
                <w:tab w:val="left" w:pos="709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  <w:lang w:val="en-GB"/>
              </w:rPr>
            </w:pPr>
            <w:r w:rsidRPr="00A5508D">
              <w:rPr>
                <w:rFonts w:ascii="Times New Roman" w:hAnsi="Times New Roman" w:cs="Times New Roman"/>
                <w:sz w:val="16"/>
                <w:szCs w:val="20"/>
                <w:lang w:val="en-GB"/>
              </w:rPr>
              <w:t>----------</w:t>
            </w:r>
          </w:p>
          <w:p w14:paraId="7BEA3ABF" w14:textId="77777777" w:rsidR="00A5508D" w:rsidRPr="00A5508D" w:rsidRDefault="00A5508D" w:rsidP="00A5508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  <w:lang w:val="en-GB"/>
              </w:rPr>
            </w:pPr>
            <w:r w:rsidRPr="00A5508D">
              <w:rPr>
                <w:rFonts w:ascii="Times New Roman" w:hAnsi="Times New Roman" w:cs="Times New Roman"/>
                <w:sz w:val="16"/>
                <w:szCs w:val="20"/>
                <w:lang w:val="en-GB"/>
              </w:rPr>
              <w:t xml:space="preserve">MINISTRY OF MINING, INDUSTRY AND </w:t>
            </w:r>
          </w:p>
          <w:p w14:paraId="63DCB914" w14:textId="77777777" w:rsidR="00A5508D" w:rsidRPr="00A5508D" w:rsidRDefault="00A5508D" w:rsidP="00A5508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  <w:lang w:val="en-GB"/>
              </w:rPr>
            </w:pPr>
            <w:r w:rsidRPr="00A5508D">
              <w:rPr>
                <w:rFonts w:ascii="Times New Roman" w:hAnsi="Times New Roman" w:cs="Times New Roman"/>
                <w:sz w:val="16"/>
                <w:szCs w:val="20"/>
                <w:lang w:val="en-GB"/>
              </w:rPr>
              <w:t>TECHNOLOGICAL DEVELOPMENT</w:t>
            </w:r>
          </w:p>
          <w:p w14:paraId="25B532AC" w14:textId="77777777" w:rsidR="00A5508D" w:rsidRPr="00A5508D" w:rsidRDefault="00A5508D" w:rsidP="00A5508D">
            <w:pPr>
              <w:tabs>
                <w:tab w:val="left" w:pos="709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  <w:lang w:val="en-GB"/>
              </w:rPr>
            </w:pPr>
            <w:r w:rsidRPr="00A5508D">
              <w:rPr>
                <w:rFonts w:ascii="Times New Roman" w:hAnsi="Times New Roman" w:cs="Times New Roman"/>
                <w:b/>
                <w:sz w:val="16"/>
                <w:szCs w:val="20"/>
                <w:lang w:val="en-GB"/>
              </w:rPr>
              <w:t xml:space="preserve">      </w:t>
            </w:r>
            <w:r w:rsidRPr="00A5508D">
              <w:rPr>
                <w:rFonts w:ascii="Times New Roman" w:hAnsi="Times New Roman" w:cs="Times New Roman"/>
                <w:b/>
                <w:sz w:val="16"/>
                <w:szCs w:val="24"/>
                <w:lang w:val="en-GB"/>
              </w:rPr>
              <w:t>EITI COMMITTEE</w:t>
            </w:r>
          </w:p>
          <w:p w14:paraId="3365B45F" w14:textId="77777777" w:rsidR="00A5508D" w:rsidRPr="00A5508D" w:rsidRDefault="00A5508D" w:rsidP="00A5508D">
            <w:pPr>
              <w:tabs>
                <w:tab w:val="left" w:pos="1500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  <w:lang w:val="en-GB"/>
              </w:rPr>
            </w:pPr>
            <w:r w:rsidRPr="00A5508D">
              <w:rPr>
                <w:rFonts w:ascii="Times New Roman" w:hAnsi="Times New Roman" w:cs="Times New Roman"/>
                <w:sz w:val="16"/>
                <w:szCs w:val="20"/>
                <w:lang w:val="en-GB"/>
              </w:rPr>
              <w:t>------------</w:t>
            </w:r>
          </w:p>
          <w:p w14:paraId="5FC569B7" w14:textId="77777777" w:rsidR="00A5508D" w:rsidRPr="00A5508D" w:rsidRDefault="00A5508D" w:rsidP="00A5508D">
            <w:pPr>
              <w:tabs>
                <w:tab w:val="left" w:pos="1500"/>
              </w:tabs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  <w:lang w:val="en-GB"/>
              </w:rPr>
            </w:pPr>
          </w:p>
        </w:tc>
      </w:tr>
    </w:tbl>
    <w:p w14:paraId="3D4C3BD0" w14:textId="77777777" w:rsidR="00A5508D" w:rsidRPr="00A5508D" w:rsidRDefault="00A5508D" w:rsidP="00A5508D">
      <w:pPr>
        <w:spacing w:after="0" w:line="240" w:lineRule="auto"/>
        <w:rPr>
          <w:rFonts w:ascii="Times New Roman" w:hAnsi="Times New Roman" w:cs="Times New Roman"/>
          <w:b/>
          <w:sz w:val="8"/>
          <w:szCs w:val="8"/>
          <w:lang w:val="fr-FR"/>
        </w:rPr>
      </w:pPr>
      <w:r w:rsidRPr="00A5508D">
        <w:rPr>
          <w:rFonts w:ascii="Times New Roman" w:hAnsi="Times New Roman" w:cs="Times New Roman"/>
          <w:b/>
          <w:sz w:val="8"/>
          <w:szCs w:val="8"/>
          <w:lang w:val="fr-FR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309F6258" w14:textId="4A229CAE" w:rsidR="00A5508D" w:rsidRPr="00A5508D" w:rsidRDefault="00A5508D" w:rsidP="00A5508D">
      <w:pPr>
        <w:spacing w:after="0" w:line="240" w:lineRule="auto"/>
        <w:rPr>
          <w:rFonts w:ascii="Times New Roman" w:hAnsi="Times New Roman" w:cs="Times New Roman"/>
          <w:szCs w:val="18"/>
          <w:lang w:val="fr-FR"/>
        </w:rPr>
      </w:pPr>
      <w:r w:rsidRPr="00A5508D">
        <w:rPr>
          <w:rFonts w:ascii="Times New Roman" w:hAnsi="Times New Roman" w:cs="Times New Roman"/>
          <w:b/>
          <w:szCs w:val="18"/>
          <w:lang w:val="fr-FR"/>
        </w:rPr>
        <w:t>N°__________/MINFI/MINMIDT/ITIE/GPA</w:t>
      </w:r>
      <w:r w:rsidRPr="00A5508D">
        <w:rPr>
          <w:rFonts w:ascii="Times New Roman" w:hAnsi="Times New Roman" w:cs="Times New Roman"/>
          <w:b/>
          <w:szCs w:val="18"/>
          <w:lang w:val="fr-FR"/>
        </w:rPr>
        <w:tab/>
      </w:r>
      <w:r w:rsidRPr="00A5508D">
        <w:rPr>
          <w:rFonts w:ascii="Times New Roman" w:hAnsi="Times New Roman" w:cs="Times New Roman"/>
          <w:b/>
          <w:szCs w:val="18"/>
          <w:lang w:val="fr-FR"/>
        </w:rPr>
        <w:tab/>
      </w:r>
      <w:r w:rsidRPr="00A5508D">
        <w:rPr>
          <w:rFonts w:ascii="Times New Roman" w:hAnsi="Times New Roman" w:cs="Times New Roman"/>
          <w:szCs w:val="18"/>
          <w:lang w:val="fr-FR"/>
        </w:rPr>
        <w:t xml:space="preserve">Yaoundé, le </w:t>
      </w:r>
    </w:p>
    <w:p w14:paraId="216D43AC" w14:textId="0DACA8CF" w:rsidR="00D32CC5" w:rsidRPr="00D32CC5" w:rsidRDefault="00D32CC5" w:rsidP="004D734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</w:pPr>
      <w:r w:rsidRPr="00D32CC5">
        <w:rPr>
          <w:rFonts w:ascii="Segoe UI Emoji" w:eastAsia="Times New Roman" w:hAnsi="Segoe UI Emoji" w:cs="Segoe UI Emoji"/>
          <w:b/>
          <w:bCs/>
          <w:sz w:val="36"/>
          <w:szCs w:val="36"/>
          <w:lang w:val="fr-FR" w:eastAsia="fr-FR"/>
        </w:rPr>
        <w:t>📊</w:t>
      </w:r>
      <w:r w:rsidRPr="00D32CC5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  <w:t xml:space="preserve"> Évolution de la production pétrolière du Cameroun </w:t>
      </w:r>
      <w:r w:rsidR="00DB617E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  <w:t xml:space="preserve"> de </w:t>
      </w:r>
      <w:r w:rsidRPr="00D32CC5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  <w:t xml:space="preserve">2012 </w:t>
      </w:r>
      <w:r w:rsidR="00DB617E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  <w:t xml:space="preserve">à </w:t>
      </w:r>
      <w:r w:rsidRPr="00D32CC5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  <w:t>2023)</w:t>
      </w:r>
    </w:p>
    <w:p w14:paraId="77C9F406" w14:textId="77777777" w:rsidR="00D32CC5" w:rsidRPr="00D32CC5" w:rsidRDefault="00D32CC5" w:rsidP="004D7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2CC5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>(hydrocarbures liquides = pétrole brut + condensat, en millions de barils)</w:t>
      </w:r>
    </w:p>
    <w:p w14:paraId="19A38284" w14:textId="7E38A5EA" w:rsidR="00D32CC5" w:rsidRPr="00363010" w:rsidRDefault="000C168A" w:rsidP="004D734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</w:pPr>
      <w:r w:rsidRPr="00363010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  <w:t>1.</w:t>
      </w:r>
      <w:r w:rsidR="00D32CC5" w:rsidRPr="00363010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  <w:t xml:space="preserve"> Les chiffres, année par année</w:t>
      </w:r>
    </w:p>
    <w:p w14:paraId="30D2D101" w14:textId="77777777" w:rsidR="00D32CC5" w:rsidRPr="00D32CC5" w:rsidRDefault="00D32CC5" w:rsidP="004D734D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2CC5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2012 : 22,35</w:t>
      </w:r>
    </w:p>
    <w:p w14:paraId="22A8DF0B" w14:textId="77777777" w:rsidR="00D32CC5" w:rsidRPr="00D32CC5" w:rsidRDefault="00D32CC5" w:rsidP="004D734D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2CC5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2013 : 24,27</w:t>
      </w:r>
    </w:p>
    <w:p w14:paraId="43816E01" w14:textId="77777777" w:rsidR="00D32CC5" w:rsidRPr="00D32CC5" w:rsidRDefault="00D32CC5" w:rsidP="004D734D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2CC5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2014 : 27,50</w:t>
      </w:r>
    </w:p>
    <w:p w14:paraId="5766015E" w14:textId="77777777" w:rsidR="00D32CC5" w:rsidRPr="00D32CC5" w:rsidRDefault="00D32CC5" w:rsidP="004D734D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2CC5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2015 : 34,97</w:t>
      </w:r>
      <w:r w:rsidRPr="00D32CC5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r w:rsidRPr="00D32CC5">
        <w:rPr>
          <w:rFonts w:ascii="Segoe UI Emoji" w:eastAsia="Times New Roman" w:hAnsi="Segoe UI Emoji" w:cs="Segoe UI Emoji"/>
          <w:sz w:val="24"/>
          <w:szCs w:val="24"/>
          <w:lang w:val="fr-FR" w:eastAsia="fr-FR"/>
        </w:rPr>
        <w:t>✅</w:t>
      </w:r>
      <w:r w:rsidRPr="00D32CC5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r w:rsidRPr="00D32CC5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>(année record)</w:t>
      </w:r>
    </w:p>
    <w:p w14:paraId="7F4F474A" w14:textId="77777777" w:rsidR="00D32CC5" w:rsidRPr="00D32CC5" w:rsidRDefault="00D32CC5" w:rsidP="004D734D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2CC5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2016 : 33,67</w:t>
      </w:r>
    </w:p>
    <w:p w14:paraId="1F6EE16A" w14:textId="77777777" w:rsidR="00D32CC5" w:rsidRPr="00D32CC5" w:rsidRDefault="00D32CC5" w:rsidP="004D734D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2CC5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2017 : 27,69</w:t>
      </w:r>
    </w:p>
    <w:p w14:paraId="7BCA58F9" w14:textId="77777777" w:rsidR="00D32CC5" w:rsidRPr="00D32CC5" w:rsidRDefault="00D32CC5" w:rsidP="004D734D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2CC5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2018 : 25,13</w:t>
      </w:r>
    </w:p>
    <w:p w14:paraId="1CC454E0" w14:textId="77777777" w:rsidR="00D32CC5" w:rsidRPr="00D32CC5" w:rsidRDefault="00D32CC5" w:rsidP="004D734D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2CC5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2019 : 26,00</w:t>
      </w:r>
    </w:p>
    <w:p w14:paraId="32F8D823" w14:textId="77777777" w:rsidR="00D32CC5" w:rsidRPr="00D32CC5" w:rsidRDefault="00D32CC5" w:rsidP="004D734D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2CC5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2020 : 26,56</w:t>
      </w:r>
    </w:p>
    <w:p w14:paraId="0F888A7D" w14:textId="77777777" w:rsidR="00D32CC5" w:rsidRPr="00D32CC5" w:rsidRDefault="00D32CC5" w:rsidP="004D734D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2CC5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2021 : 25,62</w:t>
      </w:r>
    </w:p>
    <w:p w14:paraId="043593BD" w14:textId="77777777" w:rsidR="00D32CC5" w:rsidRPr="00D32CC5" w:rsidRDefault="00D32CC5" w:rsidP="004D734D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2CC5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2022 : 24,95</w:t>
      </w:r>
    </w:p>
    <w:p w14:paraId="1671613A" w14:textId="77777777" w:rsidR="00D32CC5" w:rsidRPr="00D32CC5" w:rsidRDefault="00D32CC5" w:rsidP="004D734D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2CC5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2023 : 23,88</w:t>
      </w:r>
    </w:p>
    <w:p w14:paraId="753296BC" w14:textId="77777777" w:rsidR="005434C4" w:rsidRDefault="005434C4" w:rsidP="004D73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</w:pPr>
    </w:p>
    <w:p w14:paraId="0FE84A66" w14:textId="602E6B16" w:rsidR="005434C4" w:rsidRPr="005434C4" w:rsidRDefault="004D734D" w:rsidP="004D73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  <w:t>2</w:t>
      </w:r>
      <w:r w:rsidR="005434C4" w:rsidRPr="005434C4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  <w:t>. Présentation graphique de la production pétrolière du Cameroun entre 2012 et 2023</w:t>
      </w:r>
    </w:p>
    <w:p w14:paraId="037D5817" w14:textId="317F75A4" w:rsidR="005434C4" w:rsidRDefault="004D734D" w:rsidP="004D734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</w:pPr>
      <w:r>
        <w:rPr>
          <w:noProof/>
          <w:lang w:val="fr-FR" w:eastAsia="fr-FR"/>
        </w:rPr>
        <w:drawing>
          <wp:inline distT="0" distB="0" distL="0" distR="0" wp14:anchorId="48B19E5B" wp14:editId="7D532938">
            <wp:extent cx="6120765" cy="3060700"/>
            <wp:effectExtent l="0" t="0" r="0" b="6350"/>
            <wp:docPr id="21256735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06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5D696" w14:textId="78A21B61" w:rsidR="00D32CC5" w:rsidRPr="00D32CC5" w:rsidRDefault="004D734D" w:rsidP="004D734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  <w:t>3</w:t>
      </w:r>
      <w:r w:rsidR="00363010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  <w:t>. Ce qu’il faut comprendre</w:t>
      </w:r>
    </w:p>
    <w:p w14:paraId="014603E0" w14:textId="77777777" w:rsidR="00D32CC5" w:rsidRPr="00D32CC5" w:rsidRDefault="00D32CC5" w:rsidP="004D734D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2CC5">
        <w:rPr>
          <w:rFonts w:ascii="Segoe UI Emoji" w:eastAsia="Times New Roman" w:hAnsi="Segoe UI Emoji" w:cs="Segoe UI Emoji"/>
          <w:sz w:val="24"/>
          <w:szCs w:val="24"/>
          <w:lang w:val="fr-FR" w:eastAsia="fr-FR"/>
        </w:rPr>
        <w:t>📈</w:t>
      </w:r>
      <w:r w:rsidRPr="00D32CC5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r w:rsidRPr="00D32CC5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2012 → 2015</w:t>
      </w:r>
      <w:r w:rsidRPr="00D32CC5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: forte hausse de la production</w:t>
      </w:r>
    </w:p>
    <w:p w14:paraId="760F5182" w14:textId="77777777" w:rsidR="00D32CC5" w:rsidRPr="00D32CC5" w:rsidRDefault="00D32CC5" w:rsidP="004D734D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2CC5">
        <w:rPr>
          <w:rFonts w:ascii="Segoe UI Emoji" w:eastAsia="Times New Roman" w:hAnsi="Segoe UI Emoji" w:cs="Segoe UI Emoji"/>
          <w:sz w:val="24"/>
          <w:szCs w:val="24"/>
          <w:lang w:val="fr-FR" w:eastAsia="fr-FR"/>
        </w:rPr>
        <w:t>🔻</w:t>
      </w:r>
      <w:r w:rsidRPr="00D32CC5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r w:rsidRPr="00D32CC5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2016 → 2018</w:t>
      </w:r>
      <w:r w:rsidRPr="00D32CC5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: baisse rapide</w:t>
      </w:r>
    </w:p>
    <w:p w14:paraId="44B6DDB7" w14:textId="77777777" w:rsidR="00D32CC5" w:rsidRPr="00D32CC5" w:rsidRDefault="00D32CC5" w:rsidP="004D734D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2CC5">
        <w:rPr>
          <w:rFonts w:ascii="Segoe UI Emoji" w:eastAsia="Times New Roman" w:hAnsi="Segoe UI Emoji" w:cs="Segoe UI Emoji"/>
          <w:sz w:val="24"/>
          <w:szCs w:val="24"/>
          <w:lang w:val="fr-FR" w:eastAsia="fr-FR"/>
        </w:rPr>
        <w:lastRenderedPageBreak/>
        <w:t>🔁</w:t>
      </w:r>
      <w:r w:rsidRPr="00D32CC5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r w:rsidRPr="00D32CC5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2019 → 2020</w:t>
      </w:r>
      <w:r w:rsidRPr="00D32CC5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: stabilisation temporaire</w:t>
      </w:r>
    </w:p>
    <w:p w14:paraId="366493AB" w14:textId="77777777" w:rsidR="00D32CC5" w:rsidRPr="00D32CC5" w:rsidRDefault="00D32CC5" w:rsidP="004D734D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2CC5">
        <w:rPr>
          <w:rFonts w:ascii="Segoe UI Emoji" w:eastAsia="Times New Roman" w:hAnsi="Segoe UI Emoji" w:cs="Segoe UI Emoji"/>
          <w:sz w:val="24"/>
          <w:szCs w:val="24"/>
          <w:lang w:val="fr-FR" w:eastAsia="fr-FR"/>
        </w:rPr>
        <w:t>🔻</w:t>
      </w:r>
      <w:r w:rsidRPr="00D32CC5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r w:rsidRPr="00D32CC5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2021 → 2023</w:t>
      </w:r>
      <w:r w:rsidRPr="00D32CC5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: </w:t>
      </w:r>
      <w:r w:rsidRPr="00AC2E86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baisse progressive et continue</w:t>
      </w:r>
    </w:p>
    <w:p w14:paraId="4B81C6F6" w14:textId="77777777" w:rsidR="00D32CC5" w:rsidRPr="00D32CC5" w:rsidRDefault="00D32CC5" w:rsidP="004D734D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D32CC5">
        <w:rPr>
          <w:rFonts w:ascii="Segoe UI Emoji" w:eastAsia="Times New Roman" w:hAnsi="Segoe UI Emoji" w:cs="Segoe UI Emoji"/>
          <w:sz w:val="24"/>
          <w:szCs w:val="24"/>
          <w:lang w:val="fr-FR" w:eastAsia="fr-FR"/>
        </w:rPr>
        <w:t>⚠️</w:t>
      </w:r>
      <w:r w:rsidRPr="00D32CC5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r w:rsidRPr="00D32CC5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2023</w:t>
      </w:r>
      <w:r w:rsidRPr="00D32CC5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: la production tombe </w:t>
      </w:r>
      <w:r w:rsidRPr="00D32CC5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sous 24 millions de barils</w:t>
      </w:r>
      <w:r w:rsidRPr="00D32CC5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, soit </w:t>
      </w:r>
      <w:r w:rsidRPr="00D32CC5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–32 % par rapport au pic de 2015</w:t>
      </w:r>
    </w:p>
    <w:p w14:paraId="544B89B3" w14:textId="17A91E93" w:rsidR="00F2445A" w:rsidRDefault="00F2445A" w:rsidP="004D73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14:paraId="24121145" w14:textId="11469FDB" w:rsidR="00B10CAD" w:rsidRDefault="004D734D" w:rsidP="004D73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  <w:t>4</w:t>
      </w:r>
      <w:r w:rsidR="00AC2E86" w:rsidRPr="00AC2E86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  <w:t xml:space="preserve">. </w:t>
      </w:r>
      <w:r w:rsidR="00BA4BBD" w:rsidRPr="00AC2E86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  <w:t>S</w:t>
      </w:r>
      <w:r w:rsidR="002A0EB1" w:rsidRPr="00AC2E86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  <w:t>ource</w:t>
      </w:r>
      <w:r w:rsidR="00375665" w:rsidRPr="00AC2E86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  <w:t>s</w:t>
      </w:r>
      <w:r w:rsidR="002A0EB1" w:rsidRPr="00AC2E86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  <w:t xml:space="preserve"> de</w:t>
      </w:r>
      <w:r w:rsidR="007635C5" w:rsidRPr="00AC2E86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  <w:t xml:space="preserve"> vérification</w:t>
      </w:r>
      <w:r w:rsidR="007635C5" w:rsidRPr="007635C5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 </w:t>
      </w:r>
    </w:p>
    <w:p w14:paraId="4210BCD5" w14:textId="3A25412E" w:rsidR="00B10CAD" w:rsidRDefault="00D24174" w:rsidP="004D73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P</w:t>
      </w:r>
      <w:r w:rsidR="002A0EB1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age</w:t>
      </w:r>
      <w:r w:rsidR="007635C5" w:rsidRPr="007635C5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 86</w:t>
      </w:r>
      <w:r w:rsidR="002A0EB1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 du </w:t>
      </w:r>
      <w:r w:rsidR="00600FB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R</w:t>
      </w:r>
      <w:r w:rsidR="002A0EB1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apport ITIE 2018</w:t>
      </w:r>
    </w:p>
    <w:p w14:paraId="56CB57C0" w14:textId="6DA3DAE0" w:rsidR="00F2445A" w:rsidRDefault="00D24174" w:rsidP="004D73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P</w:t>
      </w:r>
      <w:r w:rsidR="00F2445A" w:rsidRPr="00600FB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age 84 du  Rapport ITIE 2019 </w:t>
      </w:r>
    </w:p>
    <w:p w14:paraId="69C3DFF4" w14:textId="26D78077" w:rsidR="00375665" w:rsidRDefault="00375665" w:rsidP="004D73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  <w:r w:rsidRPr="00375665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Page 78 du Rapport ITIE 2020</w:t>
      </w:r>
    </w:p>
    <w:p w14:paraId="3A17B6BB" w14:textId="7528D2A0" w:rsidR="00D24174" w:rsidRDefault="00D24174" w:rsidP="00B10C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  <w:r w:rsidRPr="00D24174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Page 86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 du rapport ITIE 2021</w:t>
      </w:r>
    </w:p>
    <w:p w14:paraId="7CE3197B" w14:textId="69173F81" w:rsidR="00452995" w:rsidRPr="00452995" w:rsidRDefault="00452995" w:rsidP="00B10C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  <w:r w:rsidRPr="00452995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Page 121  du Rapport ITIE 2022</w:t>
      </w:r>
    </w:p>
    <w:p w14:paraId="568E4D7C" w14:textId="08521166" w:rsidR="00452995" w:rsidRDefault="00452995" w:rsidP="00B10C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  <w:r w:rsidRPr="00452995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Page 22 du rapport ITIE 2023</w:t>
      </w:r>
    </w:p>
    <w:p w14:paraId="4150A173" w14:textId="77777777" w:rsidR="007A6668" w:rsidRPr="00600FB4" w:rsidRDefault="007A6668" w:rsidP="00B10C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</w:p>
    <w:p w14:paraId="6A593F13" w14:textId="3D601957" w:rsidR="0018203D" w:rsidRPr="0018203D" w:rsidRDefault="0018203D" w:rsidP="007A666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  <w:t>5</w:t>
      </w:r>
      <w:r w:rsidRPr="0018203D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  <w:t xml:space="preserve">) Analyse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  <w:t>à la lumière des données ITIE 2012 à 2023</w:t>
      </w:r>
    </w:p>
    <w:p w14:paraId="2B904CA9" w14:textId="136154A6" w:rsidR="0018203D" w:rsidRPr="007A6668" w:rsidRDefault="0018203D" w:rsidP="007A666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fr-FR" w:eastAsia="fr-FR"/>
        </w:rPr>
      </w:pPr>
      <w:r w:rsidRPr="007A666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fr-FR" w:eastAsia="fr-FR"/>
        </w:rPr>
        <w:t xml:space="preserve">A) Causes probables </w:t>
      </w:r>
    </w:p>
    <w:p w14:paraId="59D9AAF6" w14:textId="77777777" w:rsidR="0018203D" w:rsidRPr="0018203D" w:rsidRDefault="0018203D" w:rsidP="007A6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18203D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1) Vieillissement des champs et contraintes d’exploitation</w:t>
      </w:r>
      <w:r w:rsidRPr="0018203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br/>
        <w:t xml:space="preserve">La baisse observée s’explique d’abord par une logique de </w:t>
      </w:r>
      <w:r w:rsidRPr="0018203D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maturation des gisements</w:t>
      </w:r>
      <w:r w:rsidRPr="0018203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: les champs deviennent moins productifs avec le temps, et les </w:t>
      </w:r>
      <w:r w:rsidRPr="0018203D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conditions opérationnelles</w:t>
      </w:r>
      <w:r w:rsidRPr="0018203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(maintenance, accès, performance des installations) pèsent davantage sur les volumes. </w:t>
      </w:r>
    </w:p>
    <w:p w14:paraId="7409BD27" w14:textId="77777777" w:rsidR="0018203D" w:rsidRPr="0018203D" w:rsidRDefault="0018203D" w:rsidP="007A6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18203D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2) Chocs opérationnels et reports d’investissements (effet COVID-19)</w:t>
      </w:r>
      <w:r w:rsidRPr="0018203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br/>
        <w:t xml:space="preserve">En 2020, le secteur a connu des perturbations : certains </w:t>
      </w:r>
      <w:r w:rsidRPr="0018203D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projets de forage et d’investissement ont été reportés</w:t>
      </w:r>
      <w:r w:rsidRPr="0018203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, ce qui a pu ralentir le renouvellement/maintien des capacités de production. </w:t>
      </w:r>
    </w:p>
    <w:p w14:paraId="0AC4DB9D" w14:textId="423FD604" w:rsidR="0018203D" w:rsidRPr="0018203D" w:rsidRDefault="0018203D" w:rsidP="007A6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18203D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3) Logique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« </w:t>
      </w:r>
      <w:r w:rsidRPr="0018203D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cycle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 »</w:t>
      </w:r>
      <w:r w:rsidRPr="0018203D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 plutôt que d’expansion</w:t>
      </w:r>
      <w:r w:rsidRPr="0018203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br/>
        <w:t xml:space="preserve">Après le </w:t>
      </w:r>
      <w:r w:rsidRPr="0018203D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pic de 2015</w:t>
      </w:r>
      <w:r w:rsidRPr="0018203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, la dynamique ressemble à un schéma classique : </w:t>
      </w:r>
      <w:r w:rsidRPr="0018203D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plateau → déplétion</w:t>
      </w:r>
      <w:r w:rsidRPr="0018203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(déclin progressif), avec seulement un </w:t>
      </w:r>
      <w:r w:rsidRPr="0018203D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léger palier</w:t>
      </w:r>
      <w:r w:rsidRPr="0018203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autour de 2019–2020, sans retour aux niveaux du pic. (Conclusion tirée de la trajectoire de production consolidée 2012–2023.)</w:t>
      </w:r>
    </w:p>
    <w:p w14:paraId="050530B5" w14:textId="77777777" w:rsidR="0018203D" w:rsidRPr="0018203D" w:rsidRDefault="0018203D" w:rsidP="007A666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FR"/>
        </w:rPr>
      </w:pPr>
      <w:r w:rsidRPr="0018203D"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FR"/>
        </w:rPr>
        <w:t>B) Implications économiques (ce que cela change concrètement)</w:t>
      </w:r>
    </w:p>
    <w:p w14:paraId="332A4E65" w14:textId="30153023" w:rsidR="0018203D" w:rsidRPr="0018203D" w:rsidRDefault="0018203D" w:rsidP="007A6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18203D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1) Recettes publiques et entrées de devises : un effet </w:t>
      </w:r>
      <w:r w:rsidR="007A666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« </w:t>
      </w:r>
      <w:r w:rsidRPr="0018203D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volume × prix</w:t>
      </w:r>
      <w:r w:rsidR="007A6668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 »</w:t>
      </w:r>
      <w:r w:rsidRPr="0018203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br/>
        <w:t xml:space="preserve">Une baisse des volumes tend à réduire la capacité de génération de recettes et de devises, </w:t>
      </w:r>
      <w:r w:rsidRPr="0018203D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mais</w:t>
      </w:r>
      <w:r w:rsidRPr="0018203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l’impact réel dépend fortement des </w:t>
      </w:r>
      <w:r w:rsidRPr="0018203D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prix internationaux</w:t>
      </w:r>
      <w:r w:rsidRPr="0018203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. Le rapport 2022 souligne que la hausse de la valeur des exportations est liée à la </w:t>
      </w:r>
      <w:r w:rsidRPr="0018203D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flambée des prix</w:t>
      </w:r>
      <w:r w:rsidRPr="0018203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(même si les volumes ne montent pas fortement). </w:t>
      </w:r>
    </w:p>
    <w:p w14:paraId="34A686E8" w14:textId="77777777" w:rsidR="0018203D" w:rsidRPr="0018203D" w:rsidRDefault="0018203D" w:rsidP="007A6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18203D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2) Vulnérabilité budgétaire accrue</w:t>
      </w:r>
      <w:r w:rsidRPr="0018203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br/>
        <w:t xml:space="preserve">Quand la production diminue, l’État devient plus exposé à la </w:t>
      </w:r>
      <w:r w:rsidRPr="0018203D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volatilité des cours</w:t>
      </w:r>
      <w:r w:rsidRPr="0018203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: la stabilité des recettes dépend davantage du marché mondial, surtout si le budget reste très sensible aux rentes extractives.</w:t>
      </w:r>
    </w:p>
    <w:p w14:paraId="7392521D" w14:textId="77777777" w:rsidR="0018203D" w:rsidRPr="0018203D" w:rsidRDefault="0018203D" w:rsidP="007A6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18203D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3) Pression sur la balance commerciale</w:t>
      </w:r>
      <w:r w:rsidRPr="0018203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br/>
        <w:t>Moins de barils exportés peut créer une pression sur l’équilibre extérieur, sauf si cette baisse est compensée par :</w:t>
      </w:r>
    </w:p>
    <w:p w14:paraId="4F650896" w14:textId="77777777" w:rsidR="0018203D" w:rsidRPr="0018203D" w:rsidRDefault="0018203D" w:rsidP="007A6668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18203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des </w:t>
      </w:r>
      <w:r w:rsidRPr="0018203D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prix élevés</w:t>
      </w:r>
      <w:r w:rsidRPr="0018203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,</w:t>
      </w:r>
    </w:p>
    <w:p w14:paraId="72074B9D" w14:textId="77777777" w:rsidR="0018203D" w:rsidRPr="0018203D" w:rsidRDefault="0018203D" w:rsidP="007A6668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18203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une </w:t>
      </w:r>
      <w:r w:rsidRPr="0018203D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diversification</w:t>
      </w:r>
      <w:r w:rsidRPr="0018203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des exportations,</w:t>
      </w:r>
    </w:p>
    <w:p w14:paraId="1CECC02C" w14:textId="77777777" w:rsidR="0018203D" w:rsidRPr="0018203D" w:rsidRDefault="0018203D" w:rsidP="007A6668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18203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ou une meilleure </w:t>
      </w:r>
      <w:r w:rsidRPr="0018203D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valorisation locale</w:t>
      </w:r>
      <w:r w:rsidRPr="0018203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(transformation).</w:t>
      </w:r>
    </w:p>
    <w:p w14:paraId="41950E75" w14:textId="5437B5EE" w:rsidR="0018203D" w:rsidRPr="0018203D" w:rsidRDefault="0018203D" w:rsidP="007A6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14:paraId="0E587A5F" w14:textId="77777777" w:rsidR="0018203D" w:rsidRPr="0018203D" w:rsidRDefault="0018203D" w:rsidP="007A666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FR"/>
        </w:rPr>
      </w:pPr>
      <w:r w:rsidRPr="0018203D"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FR"/>
        </w:rPr>
        <w:t>C) Perspectives (axes réalistes pour un mémoire/rapport)</w:t>
      </w:r>
    </w:p>
    <w:p w14:paraId="735B3625" w14:textId="77777777" w:rsidR="0018203D" w:rsidRPr="0018203D" w:rsidRDefault="0018203D" w:rsidP="003573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18203D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1) Court terme (1–3 ans) : stabiliser/ralentir le déclin</w:t>
      </w:r>
      <w:r w:rsidRPr="0018203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br/>
        <w:t xml:space="preserve">Si l’épuisement des champs est le facteur dominant, la production a tendance à </w:t>
      </w:r>
      <w:r w:rsidRPr="0018203D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continuer de baisser</w:t>
      </w:r>
      <w:r w:rsidRPr="0018203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sans investissements ciblés : maintenance, optimisation, récupération assistée, efficacité opérationnelle. </w:t>
      </w:r>
    </w:p>
    <w:p w14:paraId="6580CACB" w14:textId="77777777" w:rsidR="0018203D" w:rsidRPr="0018203D" w:rsidRDefault="0018203D" w:rsidP="007A6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18203D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2) Moyen terme : arbitrage stratégique</w:t>
      </w:r>
      <w:r w:rsidRPr="0018203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br/>
        <w:t>Deux options structurantes se posent :</w:t>
      </w:r>
    </w:p>
    <w:p w14:paraId="18F0AD82" w14:textId="77777777" w:rsidR="0018203D" w:rsidRPr="0035731F" w:rsidRDefault="0018203D" w:rsidP="0035731F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</w:pPr>
      <w:r w:rsidRPr="0035731F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>Prolonger la vie des champs matures (optimisation, nouveaux forages ciblés),</w:t>
      </w:r>
    </w:p>
    <w:p w14:paraId="643D0CF2" w14:textId="77777777" w:rsidR="0018203D" w:rsidRPr="0035731F" w:rsidRDefault="0018203D" w:rsidP="0035731F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</w:pPr>
      <w:r w:rsidRPr="0035731F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lastRenderedPageBreak/>
        <w:t>Accélérer la diversification (gaz, transformation, autres secteurs productifs) pour réduire la dépendance.</w:t>
      </w:r>
    </w:p>
    <w:p w14:paraId="15268D03" w14:textId="77777777" w:rsidR="0018203D" w:rsidRPr="0018203D" w:rsidRDefault="0018203D" w:rsidP="007A6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18203D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3) Gouvernance et transparence : relier volumes → décisions publiques</w:t>
      </w:r>
      <w:r w:rsidRPr="0018203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br/>
        <w:t>Les séries ITIE permettent de suivre la trajectoire de production ; l’enjeu est de relier ces volumes :</w:t>
      </w:r>
    </w:p>
    <w:p w14:paraId="02FC718D" w14:textId="77777777" w:rsidR="0018203D" w:rsidRPr="0035731F" w:rsidRDefault="0018203D" w:rsidP="007A6668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</w:pPr>
      <w:r w:rsidRPr="0035731F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>aux décisions d’investissement,</w:t>
      </w:r>
    </w:p>
    <w:p w14:paraId="299CF050" w14:textId="77777777" w:rsidR="0018203D" w:rsidRPr="0035731F" w:rsidRDefault="0018203D" w:rsidP="007A6668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</w:pPr>
      <w:r w:rsidRPr="0018203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à </w:t>
      </w:r>
      <w:r w:rsidRPr="0035731F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>la fiscalité (rendement, stabilité),</w:t>
      </w:r>
    </w:p>
    <w:p w14:paraId="04BBE87D" w14:textId="77777777" w:rsidR="0018203D" w:rsidRPr="0035731F" w:rsidRDefault="0018203D" w:rsidP="007A6668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</w:pPr>
      <w:r w:rsidRPr="0035731F">
        <w:rPr>
          <w:rFonts w:ascii="Times New Roman" w:eastAsia="Times New Roman" w:hAnsi="Times New Roman" w:cs="Times New Roman"/>
          <w:i/>
          <w:iCs/>
          <w:sz w:val="24"/>
          <w:szCs w:val="24"/>
          <w:lang w:val="fr-FR" w:eastAsia="fr-FR"/>
        </w:rPr>
        <w:t>et à la soutenabilité budgétaire (moins de dépendance aux cycles).</w:t>
      </w:r>
    </w:p>
    <w:p w14:paraId="6D8CA441" w14:textId="77777777" w:rsidR="00A5508D" w:rsidRPr="00A5508D" w:rsidRDefault="00A5508D" w:rsidP="00A5508D">
      <w:pPr>
        <w:spacing w:after="160" w:line="259" w:lineRule="auto"/>
        <w:rPr>
          <w:rFonts w:ascii="Times New Roman" w:hAnsi="Times New Roman" w:cs="Times New Roman"/>
          <w:lang w:val="fr-FR"/>
        </w:rPr>
      </w:pPr>
    </w:p>
    <w:sectPr w:rsidR="00A5508D" w:rsidRPr="00A5508D" w:rsidSect="00A97B06">
      <w:pgSz w:w="12240" w:h="15840"/>
      <w:pgMar w:top="284" w:right="900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01854" w14:textId="77777777" w:rsidR="00D71916" w:rsidRDefault="00D71916" w:rsidP="00212E60">
      <w:pPr>
        <w:spacing w:after="0" w:line="240" w:lineRule="auto"/>
      </w:pPr>
      <w:r>
        <w:separator/>
      </w:r>
    </w:p>
  </w:endnote>
  <w:endnote w:type="continuationSeparator" w:id="0">
    <w:p w14:paraId="7E5AB423" w14:textId="77777777" w:rsidR="00D71916" w:rsidRDefault="00D71916" w:rsidP="00212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28F74" w14:textId="77777777" w:rsidR="00D71916" w:rsidRDefault="00D71916" w:rsidP="00212E60">
      <w:pPr>
        <w:spacing w:after="0" w:line="240" w:lineRule="auto"/>
      </w:pPr>
      <w:r>
        <w:separator/>
      </w:r>
    </w:p>
  </w:footnote>
  <w:footnote w:type="continuationSeparator" w:id="0">
    <w:p w14:paraId="396F7BD2" w14:textId="77777777" w:rsidR="00D71916" w:rsidRDefault="00D71916" w:rsidP="00212E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71BD6"/>
    <w:multiLevelType w:val="hybridMultilevel"/>
    <w:tmpl w:val="2398F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B042C"/>
    <w:multiLevelType w:val="hybridMultilevel"/>
    <w:tmpl w:val="92B83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C5DE8"/>
    <w:multiLevelType w:val="multilevel"/>
    <w:tmpl w:val="BFB6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A1C5B"/>
    <w:multiLevelType w:val="hybridMultilevel"/>
    <w:tmpl w:val="F7787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2216D"/>
    <w:multiLevelType w:val="multilevel"/>
    <w:tmpl w:val="09B2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7C7614"/>
    <w:multiLevelType w:val="hybridMultilevel"/>
    <w:tmpl w:val="3AAC4B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73839"/>
    <w:multiLevelType w:val="hybridMultilevel"/>
    <w:tmpl w:val="3E4A2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1205E"/>
    <w:multiLevelType w:val="multilevel"/>
    <w:tmpl w:val="0B26E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AD4307"/>
    <w:multiLevelType w:val="multilevel"/>
    <w:tmpl w:val="58EE1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466C66"/>
    <w:multiLevelType w:val="multilevel"/>
    <w:tmpl w:val="CAFE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696B68"/>
    <w:multiLevelType w:val="hybridMultilevel"/>
    <w:tmpl w:val="7E34E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47060"/>
    <w:multiLevelType w:val="hybridMultilevel"/>
    <w:tmpl w:val="4EF442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45767"/>
    <w:multiLevelType w:val="multilevel"/>
    <w:tmpl w:val="A2D8C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A0040C"/>
    <w:multiLevelType w:val="multilevel"/>
    <w:tmpl w:val="EDAE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DD35FF"/>
    <w:multiLevelType w:val="hybridMultilevel"/>
    <w:tmpl w:val="73A4C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26DD6"/>
    <w:multiLevelType w:val="multilevel"/>
    <w:tmpl w:val="134E0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2E72FA"/>
    <w:multiLevelType w:val="multilevel"/>
    <w:tmpl w:val="0B26E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601BA0"/>
    <w:multiLevelType w:val="multilevel"/>
    <w:tmpl w:val="070CC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6B1330"/>
    <w:multiLevelType w:val="multilevel"/>
    <w:tmpl w:val="AFC80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665E30"/>
    <w:multiLevelType w:val="multilevel"/>
    <w:tmpl w:val="5CF6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0D068C"/>
    <w:multiLevelType w:val="hybridMultilevel"/>
    <w:tmpl w:val="A50E8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B61FF9"/>
    <w:multiLevelType w:val="multilevel"/>
    <w:tmpl w:val="897E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6B1395"/>
    <w:multiLevelType w:val="multilevel"/>
    <w:tmpl w:val="01464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C110E9"/>
    <w:multiLevelType w:val="multilevel"/>
    <w:tmpl w:val="CB6E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F73DC3"/>
    <w:multiLevelType w:val="multilevel"/>
    <w:tmpl w:val="47109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571DFB"/>
    <w:multiLevelType w:val="multilevel"/>
    <w:tmpl w:val="A27E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24746C"/>
    <w:multiLevelType w:val="hybridMultilevel"/>
    <w:tmpl w:val="696002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FF3438"/>
    <w:multiLevelType w:val="multilevel"/>
    <w:tmpl w:val="F3E4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61BD5"/>
    <w:multiLevelType w:val="hybridMultilevel"/>
    <w:tmpl w:val="ED5A2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D74E0E"/>
    <w:multiLevelType w:val="multilevel"/>
    <w:tmpl w:val="7608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A35B00"/>
    <w:multiLevelType w:val="multilevel"/>
    <w:tmpl w:val="C35E9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712DC8"/>
    <w:multiLevelType w:val="multilevel"/>
    <w:tmpl w:val="0B26E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E2615B"/>
    <w:multiLevelType w:val="multilevel"/>
    <w:tmpl w:val="741E0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072F88"/>
    <w:multiLevelType w:val="multilevel"/>
    <w:tmpl w:val="0B26E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6C5996"/>
    <w:multiLevelType w:val="hybridMultilevel"/>
    <w:tmpl w:val="3C4EC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372B0D"/>
    <w:multiLevelType w:val="multilevel"/>
    <w:tmpl w:val="7822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8430F4"/>
    <w:multiLevelType w:val="multilevel"/>
    <w:tmpl w:val="8C8C8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3"/>
  </w:num>
  <w:num w:numId="3">
    <w:abstractNumId w:val="10"/>
  </w:num>
  <w:num w:numId="4">
    <w:abstractNumId w:val="6"/>
  </w:num>
  <w:num w:numId="5">
    <w:abstractNumId w:val="16"/>
  </w:num>
  <w:num w:numId="6">
    <w:abstractNumId w:val="7"/>
  </w:num>
  <w:num w:numId="7">
    <w:abstractNumId w:val="33"/>
  </w:num>
  <w:num w:numId="8">
    <w:abstractNumId w:val="34"/>
  </w:num>
  <w:num w:numId="9">
    <w:abstractNumId w:val="20"/>
  </w:num>
  <w:num w:numId="10">
    <w:abstractNumId w:val="28"/>
  </w:num>
  <w:num w:numId="11">
    <w:abstractNumId w:val="1"/>
  </w:num>
  <w:num w:numId="12">
    <w:abstractNumId w:val="14"/>
  </w:num>
  <w:num w:numId="13">
    <w:abstractNumId w:val="0"/>
  </w:num>
  <w:num w:numId="14">
    <w:abstractNumId w:val="5"/>
  </w:num>
  <w:num w:numId="15">
    <w:abstractNumId w:val="12"/>
  </w:num>
  <w:num w:numId="16">
    <w:abstractNumId w:val="26"/>
  </w:num>
  <w:num w:numId="17">
    <w:abstractNumId w:val="11"/>
  </w:num>
  <w:num w:numId="18">
    <w:abstractNumId w:val="9"/>
  </w:num>
  <w:num w:numId="19">
    <w:abstractNumId w:val="22"/>
  </w:num>
  <w:num w:numId="20">
    <w:abstractNumId w:val="17"/>
  </w:num>
  <w:num w:numId="21">
    <w:abstractNumId w:val="18"/>
  </w:num>
  <w:num w:numId="22">
    <w:abstractNumId w:val="25"/>
  </w:num>
  <w:num w:numId="23">
    <w:abstractNumId w:val="23"/>
  </w:num>
  <w:num w:numId="24">
    <w:abstractNumId w:val="13"/>
  </w:num>
  <w:num w:numId="25">
    <w:abstractNumId w:val="36"/>
  </w:num>
  <w:num w:numId="26">
    <w:abstractNumId w:val="15"/>
  </w:num>
  <w:num w:numId="27">
    <w:abstractNumId w:val="4"/>
  </w:num>
  <w:num w:numId="28">
    <w:abstractNumId w:val="27"/>
  </w:num>
  <w:num w:numId="29">
    <w:abstractNumId w:val="35"/>
  </w:num>
  <w:num w:numId="30">
    <w:abstractNumId w:val="30"/>
  </w:num>
  <w:num w:numId="31">
    <w:abstractNumId w:val="32"/>
  </w:num>
  <w:num w:numId="32">
    <w:abstractNumId w:val="29"/>
  </w:num>
  <w:num w:numId="33">
    <w:abstractNumId w:val="2"/>
  </w:num>
  <w:num w:numId="34">
    <w:abstractNumId w:val="21"/>
  </w:num>
  <w:num w:numId="35">
    <w:abstractNumId w:val="24"/>
  </w:num>
  <w:num w:numId="36">
    <w:abstractNumId w:val="8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172"/>
    <w:rsid w:val="00007549"/>
    <w:rsid w:val="0002403A"/>
    <w:rsid w:val="00024B44"/>
    <w:rsid w:val="000278CB"/>
    <w:rsid w:val="000405FC"/>
    <w:rsid w:val="000463A1"/>
    <w:rsid w:val="00057CC4"/>
    <w:rsid w:val="00062950"/>
    <w:rsid w:val="00065B86"/>
    <w:rsid w:val="00071354"/>
    <w:rsid w:val="000715FC"/>
    <w:rsid w:val="00075945"/>
    <w:rsid w:val="00077B3B"/>
    <w:rsid w:val="00084D0A"/>
    <w:rsid w:val="00085068"/>
    <w:rsid w:val="000867D5"/>
    <w:rsid w:val="00095172"/>
    <w:rsid w:val="0009653D"/>
    <w:rsid w:val="000A344A"/>
    <w:rsid w:val="000A6314"/>
    <w:rsid w:val="000C168A"/>
    <w:rsid w:val="000C5E9C"/>
    <w:rsid w:val="000D61E2"/>
    <w:rsid w:val="000E0BD6"/>
    <w:rsid w:val="000E3196"/>
    <w:rsid w:val="000E353B"/>
    <w:rsid w:val="000E3650"/>
    <w:rsid w:val="000E7D31"/>
    <w:rsid w:val="000F0AF5"/>
    <w:rsid w:val="000F23AD"/>
    <w:rsid w:val="000F4A36"/>
    <w:rsid w:val="001000A0"/>
    <w:rsid w:val="00100A16"/>
    <w:rsid w:val="00104081"/>
    <w:rsid w:val="00110A32"/>
    <w:rsid w:val="00125FEA"/>
    <w:rsid w:val="001310D0"/>
    <w:rsid w:val="00132736"/>
    <w:rsid w:val="00141472"/>
    <w:rsid w:val="0014658A"/>
    <w:rsid w:val="0015590E"/>
    <w:rsid w:val="00156024"/>
    <w:rsid w:val="00156425"/>
    <w:rsid w:val="00157062"/>
    <w:rsid w:val="0017797A"/>
    <w:rsid w:val="001807C2"/>
    <w:rsid w:val="0018203D"/>
    <w:rsid w:val="00193293"/>
    <w:rsid w:val="001966C1"/>
    <w:rsid w:val="001A0DCC"/>
    <w:rsid w:val="001A2E6B"/>
    <w:rsid w:val="001A6DD3"/>
    <w:rsid w:val="001A79B0"/>
    <w:rsid w:val="001B3B51"/>
    <w:rsid w:val="001C6663"/>
    <w:rsid w:val="001C733E"/>
    <w:rsid w:val="001D52C9"/>
    <w:rsid w:val="001D73FC"/>
    <w:rsid w:val="001E69D9"/>
    <w:rsid w:val="00202FFE"/>
    <w:rsid w:val="00206F3A"/>
    <w:rsid w:val="00212E60"/>
    <w:rsid w:val="00213660"/>
    <w:rsid w:val="00222AAA"/>
    <w:rsid w:val="002279D8"/>
    <w:rsid w:val="00232ED6"/>
    <w:rsid w:val="00233B9B"/>
    <w:rsid w:val="00233F04"/>
    <w:rsid w:val="002412E4"/>
    <w:rsid w:val="002437CB"/>
    <w:rsid w:val="002462CC"/>
    <w:rsid w:val="00250BCA"/>
    <w:rsid w:val="002566C9"/>
    <w:rsid w:val="00274230"/>
    <w:rsid w:val="00286EFA"/>
    <w:rsid w:val="00297D3C"/>
    <w:rsid w:val="002A0EB1"/>
    <w:rsid w:val="002A6DF0"/>
    <w:rsid w:val="002B213B"/>
    <w:rsid w:val="002B2FCA"/>
    <w:rsid w:val="002C4A73"/>
    <w:rsid w:val="002C6618"/>
    <w:rsid w:val="002C6952"/>
    <w:rsid w:val="002D25CB"/>
    <w:rsid w:val="002F0196"/>
    <w:rsid w:val="002F6836"/>
    <w:rsid w:val="003026DF"/>
    <w:rsid w:val="00306040"/>
    <w:rsid w:val="00323EEA"/>
    <w:rsid w:val="00324961"/>
    <w:rsid w:val="003344E5"/>
    <w:rsid w:val="0033673C"/>
    <w:rsid w:val="00341293"/>
    <w:rsid w:val="00343B3C"/>
    <w:rsid w:val="00345C4F"/>
    <w:rsid w:val="0035731F"/>
    <w:rsid w:val="00363010"/>
    <w:rsid w:val="00365E9C"/>
    <w:rsid w:val="00375665"/>
    <w:rsid w:val="003A0636"/>
    <w:rsid w:val="003A3868"/>
    <w:rsid w:val="003A66EF"/>
    <w:rsid w:val="003A74A6"/>
    <w:rsid w:val="003B1D59"/>
    <w:rsid w:val="003B532B"/>
    <w:rsid w:val="003B7F11"/>
    <w:rsid w:val="003C4FC0"/>
    <w:rsid w:val="003D3F76"/>
    <w:rsid w:val="00402B5E"/>
    <w:rsid w:val="00412518"/>
    <w:rsid w:val="00414FAD"/>
    <w:rsid w:val="00415729"/>
    <w:rsid w:val="00422DA5"/>
    <w:rsid w:val="00442054"/>
    <w:rsid w:val="00452531"/>
    <w:rsid w:val="00452995"/>
    <w:rsid w:val="0045517E"/>
    <w:rsid w:val="004565D0"/>
    <w:rsid w:val="00457C70"/>
    <w:rsid w:val="004636D0"/>
    <w:rsid w:val="00471392"/>
    <w:rsid w:val="00472266"/>
    <w:rsid w:val="00477623"/>
    <w:rsid w:val="00477FEB"/>
    <w:rsid w:val="00484129"/>
    <w:rsid w:val="00494E4C"/>
    <w:rsid w:val="004A01AB"/>
    <w:rsid w:val="004A0A3A"/>
    <w:rsid w:val="004A3783"/>
    <w:rsid w:val="004A3A33"/>
    <w:rsid w:val="004B388B"/>
    <w:rsid w:val="004C1D7E"/>
    <w:rsid w:val="004C20EF"/>
    <w:rsid w:val="004C4EC1"/>
    <w:rsid w:val="004C64C8"/>
    <w:rsid w:val="004D4AEB"/>
    <w:rsid w:val="004D734D"/>
    <w:rsid w:val="004E1009"/>
    <w:rsid w:val="004F4D6C"/>
    <w:rsid w:val="00500F31"/>
    <w:rsid w:val="00512601"/>
    <w:rsid w:val="0051470F"/>
    <w:rsid w:val="00523EB3"/>
    <w:rsid w:val="0052400E"/>
    <w:rsid w:val="00525E75"/>
    <w:rsid w:val="00535A23"/>
    <w:rsid w:val="00535E65"/>
    <w:rsid w:val="0053797F"/>
    <w:rsid w:val="0054147B"/>
    <w:rsid w:val="00541D49"/>
    <w:rsid w:val="005434C4"/>
    <w:rsid w:val="005504E9"/>
    <w:rsid w:val="005534C5"/>
    <w:rsid w:val="00553C60"/>
    <w:rsid w:val="00574AAC"/>
    <w:rsid w:val="00577725"/>
    <w:rsid w:val="0058333D"/>
    <w:rsid w:val="005844AC"/>
    <w:rsid w:val="005A417C"/>
    <w:rsid w:val="005B290A"/>
    <w:rsid w:val="005F3054"/>
    <w:rsid w:val="005F78F2"/>
    <w:rsid w:val="00600FB4"/>
    <w:rsid w:val="006127BB"/>
    <w:rsid w:val="00613A45"/>
    <w:rsid w:val="006207BC"/>
    <w:rsid w:val="00630C57"/>
    <w:rsid w:val="00631E6B"/>
    <w:rsid w:val="00637779"/>
    <w:rsid w:val="006416A3"/>
    <w:rsid w:val="0064445A"/>
    <w:rsid w:val="006508F8"/>
    <w:rsid w:val="00651B16"/>
    <w:rsid w:val="00652773"/>
    <w:rsid w:val="0067455C"/>
    <w:rsid w:val="00683488"/>
    <w:rsid w:val="00686F89"/>
    <w:rsid w:val="00690977"/>
    <w:rsid w:val="00692616"/>
    <w:rsid w:val="006934FB"/>
    <w:rsid w:val="00694DEF"/>
    <w:rsid w:val="006A264C"/>
    <w:rsid w:val="006A3883"/>
    <w:rsid w:val="006A54AE"/>
    <w:rsid w:val="006B32E9"/>
    <w:rsid w:val="006D0331"/>
    <w:rsid w:val="006D75B7"/>
    <w:rsid w:val="006E2E23"/>
    <w:rsid w:val="006E4900"/>
    <w:rsid w:val="006F1186"/>
    <w:rsid w:val="006F1610"/>
    <w:rsid w:val="007120EB"/>
    <w:rsid w:val="00713007"/>
    <w:rsid w:val="0073333F"/>
    <w:rsid w:val="0073406E"/>
    <w:rsid w:val="007350DB"/>
    <w:rsid w:val="00736151"/>
    <w:rsid w:val="007407D9"/>
    <w:rsid w:val="00740B96"/>
    <w:rsid w:val="007468A9"/>
    <w:rsid w:val="007469A7"/>
    <w:rsid w:val="00755D1A"/>
    <w:rsid w:val="007635C5"/>
    <w:rsid w:val="00773791"/>
    <w:rsid w:val="007820EA"/>
    <w:rsid w:val="007835A8"/>
    <w:rsid w:val="00785E31"/>
    <w:rsid w:val="00790D76"/>
    <w:rsid w:val="00795764"/>
    <w:rsid w:val="00795932"/>
    <w:rsid w:val="007A0BB8"/>
    <w:rsid w:val="007A11BB"/>
    <w:rsid w:val="007A6668"/>
    <w:rsid w:val="007A69D0"/>
    <w:rsid w:val="007B7B9E"/>
    <w:rsid w:val="007D6B82"/>
    <w:rsid w:val="007E2F6F"/>
    <w:rsid w:val="007E3F27"/>
    <w:rsid w:val="007F290C"/>
    <w:rsid w:val="007F684A"/>
    <w:rsid w:val="00801D33"/>
    <w:rsid w:val="00801DE2"/>
    <w:rsid w:val="00817571"/>
    <w:rsid w:val="00841308"/>
    <w:rsid w:val="00842812"/>
    <w:rsid w:val="00842E87"/>
    <w:rsid w:val="00846B0F"/>
    <w:rsid w:val="00860AFF"/>
    <w:rsid w:val="00866060"/>
    <w:rsid w:val="0087113B"/>
    <w:rsid w:val="00873912"/>
    <w:rsid w:val="00896293"/>
    <w:rsid w:val="008A1BC0"/>
    <w:rsid w:val="008A2BA3"/>
    <w:rsid w:val="008A61D7"/>
    <w:rsid w:val="008A6CB5"/>
    <w:rsid w:val="008B6594"/>
    <w:rsid w:val="008C342B"/>
    <w:rsid w:val="008C46B9"/>
    <w:rsid w:val="008D33D9"/>
    <w:rsid w:val="008D352B"/>
    <w:rsid w:val="008E07D9"/>
    <w:rsid w:val="008F3A26"/>
    <w:rsid w:val="008F4093"/>
    <w:rsid w:val="00911CD0"/>
    <w:rsid w:val="00913D6F"/>
    <w:rsid w:val="00915F71"/>
    <w:rsid w:val="00917C22"/>
    <w:rsid w:val="00921290"/>
    <w:rsid w:val="00924864"/>
    <w:rsid w:val="00924FBB"/>
    <w:rsid w:val="00930581"/>
    <w:rsid w:val="0093173D"/>
    <w:rsid w:val="00933091"/>
    <w:rsid w:val="00936ED4"/>
    <w:rsid w:val="00941F48"/>
    <w:rsid w:val="00944F5B"/>
    <w:rsid w:val="0097543E"/>
    <w:rsid w:val="009768E2"/>
    <w:rsid w:val="009A77B6"/>
    <w:rsid w:val="009B015D"/>
    <w:rsid w:val="009C72FE"/>
    <w:rsid w:val="009D3B96"/>
    <w:rsid w:val="009E36C5"/>
    <w:rsid w:val="009E7490"/>
    <w:rsid w:val="00A02C74"/>
    <w:rsid w:val="00A0463C"/>
    <w:rsid w:val="00A04CB5"/>
    <w:rsid w:val="00A0521E"/>
    <w:rsid w:val="00A0753B"/>
    <w:rsid w:val="00A11B84"/>
    <w:rsid w:val="00A1280A"/>
    <w:rsid w:val="00A14F10"/>
    <w:rsid w:val="00A2154F"/>
    <w:rsid w:val="00A2423A"/>
    <w:rsid w:val="00A25D7E"/>
    <w:rsid w:val="00A352FF"/>
    <w:rsid w:val="00A36FBE"/>
    <w:rsid w:val="00A5508D"/>
    <w:rsid w:val="00A56BF0"/>
    <w:rsid w:val="00A74495"/>
    <w:rsid w:val="00A75168"/>
    <w:rsid w:val="00A7631A"/>
    <w:rsid w:val="00A76F4A"/>
    <w:rsid w:val="00A775F9"/>
    <w:rsid w:val="00A927EC"/>
    <w:rsid w:val="00A97B06"/>
    <w:rsid w:val="00AA01BF"/>
    <w:rsid w:val="00AA0ADC"/>
    <w:rsid w:val="00AA61DA"/>
    <w:rsid w:val="00AA7CFF"/>
    <w:rsid w:val="00AB0F27"/>
    <w:rsid w:val="00AB2DC6"/>
    <w:rsid w:val="00AB3A75"/>
    <w:rsid w:val="00AB4A4E"/>
    <w:rsid w:val="00AC2E86"/>
    <w:rsid w:val="00AC4C86"/>
    <w:rsid w:val="00AC5BAB"/>
    <w:rsid w:val="00AD1D84"/>
    <w:rsid w:val="00AD1D97"/>
    <w:rsid w:val="00AE79B9"/>
    <w:rsid w:val="00B01966"/>
    <w:rsid w:val="00B0283C"/>
    <w:rsid w:val="00B10CAD"/>
    <w:rsid w:val="00B15B40"/>
    <w:rsid w:val="00B16344"/>
    <w:rsid w:val="00B16B6C"/>
    <w:rsid w:val="00B16EF6"/>
    <w:rsid w:val="00B3198E"/>
    <w:rsid w:val="00B31F4A"/>
    <w:rsid w:val="00B325BE"/>
    <w:rsid w:val="00B37E97"/>
    <w:rsid w:val="00B41271"/>
    <w:rsid w:val="00B42523"/>
    <w:rsid w:val="00B44C54"/>
    <w:rsid w:val="00B512C0"/>
    <w:rsid w:val="00B558EA"/>
    <w:rsid w:val="00B56C24"/>
    <w:rsid w:val="00B61BC8"/>
    <w:rsid w:val="00B730C7"/>
    <w:rsid w:val="00B74193"/>
    <w:rsid w:val="00B847B7"/>
    <w:rsid w:val="00B85773"/>
    <w:rsid w:val="00B86850"/>
    <w:rsid w:val="00B87C74"/>
    <w:rsid w:val="00B9150D"/>
    <w:rsid w:val="00B93CDF"/>
    <w:rsid w:val="00BA20DA"/>
    <w:rsid w:val="00BA4BBD"/>
    <w:rsid w:val="00BB40CF"/>
    <w:rsid w:val="00BC78BD"/>
    <w:rsid w:val="00BD08DA"/>
    <w:rsid w:val="00BD4ECD"/>
    <w:rsid w:val="00BE2911"/>
    <w:rsid w:val="00BE74C1"/>
    <w:rsid w:val="00BF03C0"/>
    <w:rsid w:val="00BF537F"/>
    <w:rsid w:val="00BF7DE0"/>
    <w:rsid w:val="00C02294"/>
    <w:rsid w:val="00C07325"/>
    <w:rsid w:val="00C12848"/>
    <w:rsid w:val="00C369EF"/>
    <w:rsid w:val="00C5167F"/>
    <w:rsid w:val="00C537F5"/>
    <w:rsid w:val="00C55E5A"/>
    <w:rsid w:val="00C577E8"/>
    <w:rsid w:val="00C675DA"/>
    <w:rsid w:val="00C708B8"/>
    <w:rsid w:val="00C76E45"/>
    <w:rsid w:val="00C801E6"/>
    <w:rsid w:val="00C85F80"/>
    <w:rsid w:val="00C93637"/>
    <w:rsid w:val="00C94293"/>
    <w:rsid w:val="00CA091A"/>
    <w:rsid w:val="00CC37BF"/>
    <w:rsid w:val="00CD489A"/>
    <w:rsid w:val="00CD680D"/>
    <w:rsid w:val="00CE2234"/>
    <w:rsid w:val="00CE22CF"/>
    <w:rsid w:val="00CE4100"/>
    <w:rsid w:val="00D03021"/>
    <w:rsid w:val="00D215CB"/>
    <w:rsid w:val="00D216AC"/>
    <w:rsid w:val="00D24174"/>
    <w:rsid w:val="00D32CC5"/>
    <w:rsid w:val="00D34C20"/>
    <w:rsid w:val="00D3686A"/>
    <w:rsid w:val="00D413FF"/>
    <w:rsid w:val="00D443E7"/>
    <w:rsid w:val="00D61A95"/>
    <w:rsid w:val="00D71916"/>
    <w:rsid w:val="00D74A92"/>
    <w:rsid w:val="00D81197"/>
    <w:rsid w:val="00D86C3A"/>
    <w:rsid w:val="00D94999"/>
    <w:rsid w:val="00DA0BB4"/>
    <w:rsid w:val="00DA49FC"/>
    <w:rsid w:val="00DB617E"/>
    <w:rsid w:val="00DB6B3A"/>
    <w:rsid w:val="00DC19B6"/>
    <w:rsid w:val="00DC6E9D"/>
    <w:rsid w:val="00DC7523"/>
    <w:rsid w:val="00DD0ABA"/>
    <w:rsid w:val="00DD2793"/>
    <w:rsid w:val="00DD5F9A"/>
    <w:rsid w:val="00DD6827"/>
    <w:rsid w:val="00DD727A"/>
    <w:rsid w:val="00DE6B3E"/>
    <w:rsid w:val="00DF16EE"/>
    <w:rsid w:val="00DF2357"/>
    <w:rsid w:val="00DF5A57"/>
    <w:rsid w:val="00E012A5"/>
    <w:rsid w:val="00E07DCB"/>
    <w:rsid w:val="00E136F4"/>
    <w:rsid w:val="00E149C4"/>
    <w:rsid w:val="00E14FF6"/>
    <w:rsid w:val="00E17D8A"/>
    <w:rsid w:val="00E20E12"/>
    <w:rsid w:val="00E24BF2"/>
    <w:rsid w:val="00E42F11"/>
    <w:rsid w:val="00E47DA8"/>
    <w:rsid w:val="00E50CB4"/>
    <w:rsid w:val="00E57367"/>
    <w:rsid w:val="00E60672"/>
    <w:rsid w:val="00E66D2F"/>
    <w:rsid w:val="00E747AC"/>
    <w:rsid w:val="00E846F1"/>
    <w:rsid w:val="00E8684C"/>
    <w:rsid w:val="00E93C77"/>
    <w:rsid w:val="00E96FF4"/>
    <w:rsid w:val="00EA502A"/>
    <w:rsid w:val="00EB6E72"/>
    <w:rsid w:val="00EC3FC9"/>
    <w:rsid w:val="00ED0382"/>
    <w:rsid w:val="00ED3C80"/>
    <w:rsid w:val="00ED4A7D"/>
    <w:rsid w:val="00ED6726"/>
    <w:rsid w:val="00ED7166"/>
    <w:rsid w:val="00EE2E22"/>
    <w:rsid w:val="00EF4367"/>
    <w:rsid w:val="00F226FE"/>
    <w:rsid w:val="00F22DE3"/>
    <w:rsid w:val="00F2445A"/>
    <w:rsid w:val="00F25520"/>
    <w:rsid w:val="00F32B07"/>
    <w:rsid w:val="00F36C8F"/>
    <w:rsid w:val="00F455D9"/>
    <w:rsid w:val="00F71601"/>
    <w:rsid w:val="00F813A0"/>
    <w:rsid w:val="00F90989"/>
    <w:rsid w:val="00F918AF"/>
    <w:rsid w:val="00F92D34"/>
    <w:rsid w:val="00FA1AC4"/>
    <w:rsid w:val="00FA451A"/>
    <w:rsid w:val="00FB11FF"/>
    <w:rsid w:val="00FB6511"/>
    <w:rsid w:val="00FB6521"/>
    <w:rsid w:val="00FC7756"/>
    <w:rsid w:val="00FD1FE7"/>
    <w:rsid w:val="00FD58A1"/>
    <w:rsid w:val="00FD5F8C"/>
    <w:rsid w:val="00FE4036"/>
    <w:rsid w:val="00FE46A3"/>
    <w:rsid w:val="00FF17DC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D99744"/>
  <w15:docId w15:val="{0E271A42-D596-4906-B9F1-4203DB08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27423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8C342B"/>
    <w:pPr>
      <w:ind w:left="720"/>
      <w:contextualSpacing/>
    </w:pPr>
  </w:style>
  <w:style w:type="table" w:styleId="Grilledutableau">
    <w:name w:val="Table Grid"/>
    <w:basedOn w:val="TableauNormal"/>
    <w:uiPriority w:val="39"/>
    <w:rsid w:val="00746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12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2E60"/>
  </w:style>
  <w:style w:type="paragraph" w:styleId="Pieddepage">
    <w:name w:val="footer"/>
    <w:basedOn w:val="Normal"/>
    <w:link w:val="PieddepageCar"/>
    <w:uiPriority w:val="99"/>
    <w:unhideWhenUsed/>
    <w:rsid w:val="00212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2E60"/>
  </w:style>
  <w:style w:type="paragraph" w:customStyle="1" w:styleId="Style6">
    <w:name w:val="Style6"/>
    <w:basedOn w:val="Normal"/>
    <w:uiPriority w:val="99"/>
    <w:rsid w:val="008D33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fr-FR" w:eastAsia="fr-FR"/>
    </w:rPr>
  </w:style>
  <w:style w:type="paragraph" w:customStyle="1" w:styleId="Style14">
    <w:name w:val="Style14"/>
    <w:basedOn w:val="Normal"/>
    <w:uiPriority w:val="99"/>
    <w:rsid w:val="008D33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fr-FR" w:eastAsia="fr-FR"/>
    </w:rPr>
  </w:style>
  <w:style w:type="paragraph" w:customStyle="1" w:styleId="Style15">
    <w:name w:val="Style15"/>
    <w:basedOn w:val="Normal"/>
    <w:uiPriority w:val="99"/>
    <w:rsid w:val="008D33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fr-FR" w:eastAsia="fr-FR"/>
    </w:rPr>
  </w:style>
  <w:style w:type="paragraph" w:customStyle="1" w:styleId="Style20">
    <w:name w:val="Style20"/>
    <w:basedOn w:val="Normal"/>
    <w:uiPriority w:val="99"/>
    <w:rsid w:val="008D33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fr-FR" w:eastAsia="fr-FR"/>
    </w:rPr>
  </w:style>
  <w:style w:type="character" w:customStyle="1" w:styleId="FontStyle36">
    <w:name w:val="Font Style36"/>
    <w:basedOn w:val="Policepardfaut"/>
    <w:uiPriority w:val="99"/>
    <w:rsid w:val="008D33D9"/>
    <w:rPr>
      <w:rFonts w:ascii="Calibri" w:hAnsi="Calibri" w:cs="Calibri"/>
      <w:b/>
      <w:bCs/>
      <w:sz w:val="22"/>
      <w:szCs w:val="22"/>
    </w:rPr>
  </w:style>
  <w:style w:type="character" w:customStyle="1" w:styleId="FontStyle37">
    <w:name w:val="Font Style37"/>
    <w:basedOn w:val="Policepardfaut"/>
    <w:uiPriority w:val="99"/>
    <w:rsid w:val="008D33D9"/>
    <w:rPr>
      <w:rFonts w:ascii="Calibri" w:hAnsi="Calibri" w:cs="Calibri"/>
      <w:sz w:val="24"/>
      <w:szCs w:val="24"/>
    </w:rPr>
  </w:style>
  <w:style w:type="character" w:customStyle="1" w:styleId="FontStyle38">
    <w:name w:val="Font Style38"/>
    <w:basedOn w:val="Policepardfaut"/>
    <w:uiPriority w:val="99"/>
    <w:rsid w:val="008D33D9"/>
    <w:rPr>
      <w:rFonts w:ascii="Calibri" w:hAnsi="Calibri" w:cs="Calibri"/>
      <w:sz w:val="22"/>
      <w:szCs w:val="22"/>
    </w:rPr>
  </w:style>
  <w:style w:type="character" w:styleId="Accentuation">
    <w:name w:val="Emphasis"/>
    <w:basedOn w:val="Policepardfaut"/>
    <w:uiPriority w:val="20"/>
    <w:qFormat/>
    <w:rsid w:val="00222AAA"/>
    <w:rPr>
      <w:i/>
      <w:iCs/>
    </w:rPr>
  </w:style>
  <w:style w:type="character" w:styleId="lev">
    <w:name w:val="Strong"/>
    <w:basedOn w:val="Policepardfaut"/>
    <w:uiPriority w:val="22"/>
    <w:qFormat/>
    <w:rsid w:val="00AA0ADC"/>
    <w:rPr>
      <w:b/>
      <w:bCs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E4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3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1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dotted" w:sz="4" w:space="0" w:color="A2A9B1"/>
            <w:right w:val="none" w:sz="0" w:space="0" w:color="auto"/>
          </w:divBdr>
        </w:div>
        <w:div w:id="5911595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65136971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200797580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dotted" w:sz="4" w:space="0" w:color="A2A9B1"/>
            <w:right w:val="none" w:sz="0" w:space="0" w:color="auto"/>
          </w:divBdr>
        </w:div>
        <w:div w:id="202493325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4" w:space="2" w:color="A2A9B1"/>
            <w:right w:val="none" w:sz="0" w:space="0" w:color="auto"/>
          </w:divBdr>
        </w:div>
      </w:divsChild>
    </w:div>
    <w:div w:id="12875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0B772-FE33-4419-90A9-F14E6717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679</Words>
  <Characters>3738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SERGE PARFAIT</cp:lastModifiedBy>
  <cp:revision>3</cp:revision>
  <cp:lastPrinted>2026-01-13T20:56:00Z</cp:lastPrinted>
  <dcterms:created xsi:type="dcterms:W3CDTF">2026-02-04T12:01:00Z</dcterms:created>
  <dcterms:modified xsi:type="dcterms:W3CDTF">2026-02-07T23:21:00Z</dcterms:modified>
</cp:coreProperties>
</file>