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5" w:type="dxa"/>
        <w:jc w:val="center"/>
        <w:tblLook w:val="04A0" w:firstRow="1" w:lastRow="0" w:firstColumn="1" w:lastColumn="0" w:noHBand="0" w:noVBand="1"/>
      </w:tblPr>
      <w:tblGrid>
        <w:gridCol w:w="4959"/>
        <w:gridCol w:w="5076"/>
      </w:tblGrid>
      <w:tr w:rsidR="00FA4643" w:rsidRPr="00E856C9" w14:paraId="5CF248B3" w14:textId="77777777">
        <w:trPr>
          <w:trHeight w:val="1610"/>
          <w:jc w:val="center"/>
        </w:trPr>
        <w:tc>
          <w:tcPr>
            <w:tcW w:w="4959" w:type="dxa"/>
          </w:tcPr>
          <w:p w14:paraId="00D861C4"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b/>
                <w:sz w:val="16"/>
                <w:szCs w:val="20"/>
              </w:rPr>
            </w:pPr>
            <w:r w:rsidRPr="00E856C9">
              <w:rPr>
                <w:rFonts w:ascii="Times New Roman" w:hAnsi="Times New Roman"/>
                <w:noProof/>
                <w:sz w:val="16"/>
                <w:szCs w:val="20"/>
                <w:lang w:eastAsia="fr-FR"/>
              </w:rPr>
              <w:drawing>
                <wp:anchor distT="0" distB="0" distL="114300" distR="114300" simplePos="0" relativeHeight="251660288" behindDoc="1" locked="0" layoutInCell="1" allowOverlap="1" wp14:anchorId="7752CB63" wp14:editId="3E517A91">
                  <wp:simplePos x="0" y="0"/>
                  <wp:positionH relativeFrom="column">
                    <wp:posOffset>2310781</wp:posOffset>
                  </wp:positionH>
                  <wp:positionV relativeFrom="paragraph">
                    <wp:posOffset>103051</wp:posOffset>
                  </wp:positionV>
                  <wp:extent cx="1198709" cy="476411"/>
                  <wp:effectExtent l="0" t="0" r="1905" b="0"/>
                  <wp:wrapNone/>
                  <wp:docPr id="4" name="Image 1"/>
                  <wp:cNvGraphicFramePr/>
                  <a:graphic xmlns:a="http://schemas.openxmlformats.org/drawingml/2006/main">
                    <a:graphicData uri="http://schemas.openxmlformats.org/drawingml/2006/picture">
                      <pic:pic xmlns:pic="http://schemas.openxmlformats.org/drawingml/2006/picture">
                        <pic:nvPicPr>
                          <pic:cNvPr id="4" name="Image 1"/>
                          <pic:cNvPicPr/>
                        </pic:nvPicPr>
                        <pic:blipFill>
                          <a:blip r:embed="rId8" cstate="print">
                            <a:lum bright="-12000" contrast="24000"/>
                            <a:extLst>
                              <a:ext uri="{28A0092B-C50C-407E-A947-70E740481C1C}">
                                <a14:useLocalDpi xmlns:a14="http://schemas.microsoft.com/office/drawing/2010/main" val="0"/>
                              </a:ext>
                            </a:extLst>
                          </a:blip>
                          <a:srcRect l="8034" t="14350" r="75365" b="74021"/>
                          <a:stretch>
                            <a:fillRect/>
                          </a:stretch>
                        </pic:blipFill>
                        <pic:spPr>
                          <a:xfrm>
                            <a:off x="0" y="0"/>
                            <a:ext cx="1203697" cy="478393"/>
                          </a:xfrm>
                          <a:prstGeom prst="rect">
                            <a:avLst/>
                          </a:prstGeom>
                          <a:ln>
                            <a:noFill/>
                          </a:ln>
                        </pic:spPr>
                      </pic:pic>
                    </a:graphicData>
                  </a:graphic>
                  <wp14:sizeRelH relativeFrom="margin">
                    <wp14:pctWidth>0</wp14:pctWidth>
                  </wp14:sizeRelH>
                  <wp14:sizeRelV relativeFrom="margin">
                    <wp14:pctHeight>0</wp14:pctHeight>
                  </wp14:sizeRelV>
                </wp:anchor>
              </w:drawing>
            </w:r>
            <w:r w:rsidRPr="00E856C9">
              <w:rPr>
                <w:rFonts w:ascii="Times New Roman" w:hAnsi="Times New Roman"/>
                <w:b/>
                <w:sz w:val="16"/>
                <w:szCs w:val="20"/>
              </w:rPr>
              <w:t>REPUBLIQUE DU CAMEROUN</w:t>
            </w:r>
          </w:p>
          <w:p w14:paraId="082B5693"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Paix – Travail – Patrie</w:t>
            </w:r>
          </w:p>
          <w:p w14:paraId="01A50BFD"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w:t>
            </w:r>
          </w:p>
          <w:p w14:paraId="33C9ABEF"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MINISTERE DES FINANCES</w:t>
            </w:r>
          </w:p>
          <w:p w14:paraId="5AD5C8CD"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w:t>
            </w:r>
          </w:p>
          <w:p w14:paraId="56854D6B" w14:textId="77777777" w:rsidR="00D46829" w:rsidRPr="00E856C9" w:rsidRDefault="00D46829"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MINISTERE DES MINES, DE L’INDUSTRIE ET DU DEVELOPPEMENT TECHNOLOGIQUE</w:t>
            </w:r>
          </w:p>
          <w:p w14:paraId="52F7DFC1" w14:textId="77777777" w:rsidR="00D46829" w:rsidRPr="00E856C9" w:rsidRDefault="00D46829" w:rsidP="00E6698E">
            <w:pPr>
              <w:tabs>
                <w:tab w:val="left" w:pos="709"/>
              </w:tabs>
              <w:adjustRightInd w:val="0"/>
              <w:snapToGrid w:val="0"/>
              <w:spacing w:after="0" w:line="240" w:lineRule="auto"/>
              <w:jc w:val="center"/>
              <w:rPr>
                <w:rFonts w:ascii="Times New Roman" w:hAnsi="Times New Roman"/>
                <w:sz w:val="16"/>
                <w:szCs w:val="20"/>
              </w:rPr>
            </w:pPr>
          </w:p>
          <w:p w14:paraId="0A4FDFCF"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b/>
                <w:sz w:val="16"/>
                <w:szCs w:val="24"/>
              </w:rPr>
            </w:pPr>
            <w:r w:rsidRPr="00E856C9">
              <w:rPr>
                <w:rFonts w:ascii="Times New Roman" w:hAnsi="Times New Roman"/>
                <w:b/>
                <w:sz w:val="16"/>
                <w:szCs w:val="24"/>
              </w:rPr>
              <w:t>COMITE ITIE</w:t>
            </w:r>
          </w:p>
          <w:p w14:paraId="3549C2DE"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w:t>
            </w:r>
          </w:p>
          <w:p w14:paraId="69C5A11A" w14:textId="77777777" w:rsidR="00537C79" w:rsidRPr="00E856C9" w:rsidRDefault="00537C79"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GTSEC</w:t>
            </w:r>
          </w:p>
        </w:tc>
        <w:tc>
          <w:tcPr>
            <w:tcW w:w="5076" w:type="dxa"/>
          </w:tcPr>
          <w:p w14:paraId="5DC25635"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b/>
                <w:sz w:val="16"/>
                <w:szCs w:val="20"/>
                <w:lang w:val="en-GB"/>
              </w:rPr>
            </w:pPr>
            <w:r w:rsidRPr="00E856C9">
              <w:rPr>
                <w:rFonts w:ascii="Times New Roman" w:hAnsi="Times New Roman"/>
                <w:b/>
                <w:sz w:val="16"/>
                <w:szCs w:val="20"/>
              </w:rPr>
              <w:t xml:space="preserve">      </w:t>
            </w:r>
            <w:r w:rsidRPr="00E856C9">
              <w:rPr>
                <w:rFonts w:ascii="Times New Roman" w:hAnsi="Times New Roman"/>
                <w:b/>
                <w:sz w:val="16"/>
                <w:szCs w:val="20"/>
                <w:lang w:val="en-GB"/>
              </w:rPr>
              <w:t>REPUBLIC OF CAMEROON</w:t>
            </w:r>
          </w:p>
          <w:p w14:paraId="03722173"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 xml:space="preserve">        Peace – Work – Fatherland</w:t>
            </w:r>
          </w:p>
          <w:p w14:paraId="4C79E55C"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w:t>
            </w:r>
          </w:p>
          <w:p w14:paraId="7B60D72E"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 xml:space="preserve">        MINISTRY OF FINANCE</w:t>
            </w:r>
          </w:p>
          <w:p w14:paraId="4D2BFAF8"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sz w:val="16"/>
                <w:szCs w:val="20"/>
              </w:rPr>
            </w:pPr>
            <w:r w:rsidRPr="00E856C9">
              <w:rPr>
                <w:rFonts w:ascii="Times New Roman" w:hAnsi="Times New Roman"/>
                <w:sz w:val="16"/>
                <w:szCs w:val="20"/>
              </w:rPr>
              <w:t>----------</w:t>
            </w:r>
          </w:p>
          <w:p w14:paraId="2B47CE4B" w14:textId="77777777" w:rsidR="00140C4D" w:rsidRPr="00E856C9" w:rsidRDefault="00537C79" w:rsidP="0035650E">
            <w:pPr>
              <w:tabs>
                <w:tab w:val="left" w:pos="709"/>
              </w:tabs>
              <w:spacing w:after="0" w:line="240" w:lineRule="auto"/>
              <w:jc w:val="center"/>
              <w:rPr>
                <w:rFonts w:ascii="Times New Roman" w:hAnsi="Times New Roman"/>
                <w:sz w:val="16"/>
                <w:szCs w:val="20"/>
              </w:rPr>
            </w:pPr>
            <w:r w:rsidRPr="00E856C9">
              <w:rPr>
                <w:rFonts w:ascii="Times New Roman" w:hAnsi="Times New Roman"/>
                <w:sz w:val="16"/>
                <w:szCs w:val="20"/>
              </w:rPr>
              <w:t>MI</w:t>
            </w:r>
            <w:r w:rsidR="00CE2A3E" w:rsidRPr="00E856C9">
              <w:rPr>
                <w:rFonts w:ascii="Times New Roman" w:hAnsi="Times New Roman"/>
                <w:sz w:val="16"/>
                <w:szCs w:val="20"/>
              </w:rPr>
              <w:t xml:space="preserve">NISTRY OF MINING, INDUSTRY AND </w:t>
            </w:r>
          </w:p>
          <w:p w14:paraId="7CC1D0AF" w14:textId="77777777" w:rsidR="00537C79" w:rsidRPr="00E856C9" w:rsidRDefault="00140C4D" w:rsidP="0035650E">
            <w:pPr>
              <w:tabs>
                <w:tab w:val="left" w:pos="709"/>
              </w:tabs>
              <w:spacing w:after="0" w:line="240" w:lineRule="auto"/>
              <w:jc w:val="center"/>
              <w:rPr>
                <w:rFonts w:ascii="Times New Roman" w:hAnsi="Times New Roman"/>
                <w:sz w:val="16"/>
                <w:szCs w:val="20"/>
                <w:lang w:val="en-GB"/>
              </w:rPr>
            </w:pPr>
            <w:r w:rsidRPr="00E856C9">
              <w:rPr>
                <w:rFonts w:ascii="Times New Roman" w:hAnsi="Times New Roman"/>
                <w:sz w:val="16"/>
                <w:szCs w:val="20"/>
              </w:rPr>
              <w:t>T</w:t>
            </w:r>
            <w:r w:rsidR="00537C79" w:rsidRPr="00E856C9">
              <w:rPr>
                <w:rFonts w:ascii="Times New Roman" w:hAnsi="Times New Roman"/>
                <w:sz w:val="16"/>
                <w:szCs w:val="20"/>
              </w:rPr>
              <w:t>ECHNOLOGICAL DEVELOPMENT</w:t>
            </w:r>
          </w:p>
          <w:p w14:paraId="326FC7AE" w14:textId="77777777" w:rsidR="00246CC8" w:rsidRPr="00E856C9" w:rsidRDefault="004E1C7D" w:rsidP="00E6698E">
            <w:pPr>
              <w:tabs>
                <w:tab w:val="left" w:pos="709"/>
              </w:tabs>
              <w:adjustRightInd w:val="0"/>
              <w:snapToGrid w:val="0"/>
              <w:spacing w:after="0" w:line="240" w:lineRule="auto"/>
              <w:jc w:val="center"/>
              <w:rPr>
                <w:rFonts w:ascii="Times New Roman" w:hAnsi="Times New Roman"/>
                <w:b/>
                <w:sz w:val="16"/>
                <w:szCs w:val="20"/>
                <w:lang w:val="en-GB"/>
              </w:rPr>
            </w:pPr>
            <w:r w:rsidRPr="00E856C9">
              <w:rPr>
                <w:rFonts w:ascii="Times New Roman" w:hAnsi="Times New Roman"/>
                <w:b/>
                <w:sz w:val="16"/>
                <w:szCs w:val="20"/>
                <w:lang w:val="en-GB"/>
              </w:rPr>
              <w:t xml:space="preserve">      </w:t>
            </w:r>
            <w:r w:rsidR="00D46829" w:rsidRPr="00E856C9">
              <w:rPr>
                <w:rFonts w:ascii="Times New Roman" w:hAnsi="Times New Roman"/>
                <w:b/>
                <w:sz w:val="16"/>
                <w:szCs w:val="24"/>
                <w:lang w:val="en-GB"/>
              </w:rPr>
              <w:t>EITI</w:t>
            </w:r>
            <w:r w:rsidRPr="00E856C9">
              <w:rPr>
                <w:rFonts w:ascii="Times New Roman" w:hAnsi="Times New Roman"/>
                <w:b/>
                <w:sz w:val="16"/>
                <w:szCs w:val="24"/>
                <w:lang w:val="en-GB"/>
              </w:rPr>
              <w:t xml:space="preserve"> COMMITTEE</w:t>
            </w:r>
          </w:p>
          <w:p w14:paraId="054C2CAA" w14:textId="77777777" w:rsidR="00246CC8" w:rsidRPr="00E856C9" w:rsidRDefault="004E1C7D" w:rsidP="00E6698E">
            <w:pPr>
              <w:tabs>
                <w:tab w:val="left" w:pos="1500"/>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w:t>
            </w:r>
          </w:p>
          <w:p w14:paraId="565A300D" w14:textId="77777777" w:rsidR="00537C79" w:rsidRPr="00E856C9" w:rsidRDefault="00E6698E" w:rsidP="00E6698E">
            <w:pPr>
              <w:tabs>
                <w:tab w:val="left" w:pos="1500"/>
              </w:tabs>
              <w:adjustRightInd w:val="0"/>
              <w:snapToGrid w:val="0"/>
              <w:spacing w:after="0" w:line="240" w:lineRule="auto"/>
              <w:jc w:val="center"/>
              <w:rPr>
                <w:rFonts w:ascii="Times New Roman" w:hAnsi="Times New Roman"/>
                <w:sz w:val="16"/>
                <w:szCs w:val="20"/>
                <w:lang w:val="en-GB"/>
              </w:rPr>
            </w:pPr>
            <w:r w:rsidRPr="00E856C9">
              <w:rPr>
                <w:rFonts w:ascii="Times New Roman" w:hAnsi="Times New Roman"/>
                <w:sz w:val="16"/>
                <w:szCs w:val="20"/>
                <w:lang w:val="en-GB"/>
              </w:rPr>
              <w:t>WGTE</w:t>
            </w:r>
          </w:p>
        </w:tc>
      </w:tr>
    </w:tbl>
    <w:p w14:paraId="55DBDD08" w14:textId="77777777" w:rsidR="00246CC8" w:rsidRPr="00E856C9" w:rsidRDefault="004E1C7D">
      <w:pPr>
        <w:spacing w:after="0" w:line="240" w:lineRule="auto"/>
        <w:rPr>
          <w:rFonts w:ascii="Times New Roman" w:hAnsi="Times New Roman"/>
          <w:b/>
          <w:sz w:val="8"/>
          <w:szCs w:val="8"/>
        </w:rPr>
      </w:pPr>
      <w:r w:rsidRPr="00E856C9">
        <w:rPr>
          <w:rFonts w:ascii="Times New Roman" w:hAnsi="Times New Roman"/>
          <w:b/>
          <w:sz w:val="8"/>
          <w:szCs w:val="8"/>
        </w:rPr>
        <w:t>_______________________________________________________________________________________________________________________________________________________________________________________________________________</w:t>
      </w:r>
    </w:p>
    <w:p w14:paraId="6EBB6C39" w14:textId="192D9901" w:rsidR="00246CC8" w:rsidRPr="00E856C9" w:rsidRDefault="00E856C9" w:rsidP="00E856C9">
      <w:pPr>
        <w:spacing w:after="0" w:line="240" w:lineRule="auto"/>
        <w:rPr>
          <w:rFonts w:ascii="Times New Roman" w:hAnsi="Times New Roman"/>
          <w:b/>
          <w:szCs w:val="18"/>
        </w:rPr>
      </w:pPr>
      <w:r>
        <w:rPr>
          <w:rFonts w:ascii="Times New Roman" w:hAnsi="Times New Roman"/>
          <w:b/>
          <w:szCs w:val="18"/>
        </w:rPr>
        <w:t>N°__________</w:t>
      </w:r>
      <w:r w:rsidR="007144EA" w:rsidRPr="00E856C9">
        <w:rPr>
          <w:rFonts w:ascii="Times New Roman" w:hAnsi="Times New Roman"/>
          <w:b/>
          <w:szCs w:val="18"/>
        </w:rPr>
        <w:t>/MINFI/</w:t>
      </w:r>
      <w:r>
        <w:rPr>
          <w:rFonts w:ascii="Times New Roman" w:hAnsi="Times New Roman"/>
          <w:b/>
          <w:szCs w:val="18"/>
        </w:rPr>
        <w:t>MINMIDT/</w:t>
      </w:r>
      <w:r w:rsidR="007144EA" w:rsidRPr="00E856C9">
        <w:rPr>
          <w:rFonts w:ascii="Times New Roman" w:hAnsi="Times New Roman"/>
          <w:b/>
          <w:szCs w:val="18"/>
        </w:rPr>
        <w:t>ITIE</w:t>
      </w:r>
      <w:r>
        <w:rPr>
          <w:rFonts w:ascii="Times New Roman" w:hAnsi="Times New Roman"/>
          <w:b/>
          <w:szCs w:val="18"/>
        </w:rPr>
        <w:t>/GTSEC</w:t>
      </w:r>
      <w:r w:rsidR="005A7108">
        <w:rPr>
          <w:rFonts w:ascii="Times New Roman" w:hAnsi="Times New Roman"/>
          <w:b/>
          <w:szCs w:val="18"/>
        </w:rPr>
        <w:tab/>
      </w:r>
      <w:r w:rsidR="005A7108">
        <w:rPr>
          <w:rFonts w:ascii="Times New Roman" w:hAnsi="Times New Roman"/>
          <w:b/>
          <w:szCs w:val="18"/>
        </w:rPr>
        <w:tab/>
      </w:r>
      <w:r w:rsidR="005A7108">
        <w:rPr>
          <w:rFonts w:ascii="Times New Roman" w:hAnsi="Times New Roman"/>
          <w:b/>
          <w:szCs w:val="18"/>
        </w:rPr>
        <w:tab/>
        <w:t>Yao</w:t>
      </w:r>
      <w:r w:rsidR="005A7108" w:rsidRPr="005A7108">
        <w:rPr>
          <w:rFonts w:ascii="Times New Roman" w:hAnsi="Times New Roman"/>
          <w:b/>
          <w:szCs w:val="18"/>
          <w:u w:val="single"/>
        </w:rPr>
        <w:t xml:space="preserve">undé, le </w:t>
      </w:r>
      <w:r w:rsidR="00281ACB">
        <w:rPr>
          <w:rFonts w:ascii="Times New Roman" w:hAnsi="Times New Roman"/>
          <w:b/>
          <w:szCs w:val="18"/>
          <w:u w:val="single"/>
        </w:rPr>
        <w:t>22</w:t>
      </w:r>
      <w:r w:rsidR="005A7108" w:rsidRPr="005A7108">
        <w:rPr>
          <w:rFonts w:ascii="Times New Roman" w:hAnsi="Times New Roman"/>
          <w:b/>
          <w:szCs w:val="18"/>
          <w:u w:val="single"/>
        </w:rPr>
        <w:t xml:space="preserve"> avril </w:t>
      </w:r>
      <w:r w:rsidR="005A7108">
        <w:rPr>
          <w:rFonts w:ascii="Times New Roman" w:hAnsi="Times New Roman"/>
          <w:b/>
          <w:szCs w:val="18"/>
        </w:rPr>
        <w:t>2025</w:t>
      </w:r>
    </w:p>
    <w:p w14:paraId="043DFA31" w14:textId="77777777" w:rsidR="003523B9" w:rsidRPr="00394EF2" w:rsidRDefault="006D51B8" w:rsidP="0003371F">
      <w:pPr>
        <w:spacing w:before="360" w:after="0" w:line="240" w:lineRule="auto"/>
        <w:ind w:left="1416" w:firstLine="144"/>
        <w:rPr>
          <w:rFonts w:ascii="Times New Roman" w:eastAsia="Times New Roman" w:hAnsi="Times New Roman"/>
          <w:b/>
          <w:bCs/>
          <w:color w:val="0070C0"/>
          <w:sz w:val="40"/>
          <w:szCs w:val="24"/>
          <w:lang w:eastAsia="fr-FR"/>
        </w:rPr>
      </w:pPr>
      <w:r w:rsidRPr="00394EF2">
        <w:rPr>
          <w:rFonts w:ascii="Times New Roman" w:eastAsia="Times New Roman" w:hAnsi="Times New Roman"/>
          <w:b/>
          <w:bCs/>
          <w:color w:val="0070C0"/>
          <w:sz w:val="40"/>
          <w:szCs w:val="24"/>
          <w:lang w:eastAsia="fr-FR"/>
        </w:rPr>
        <w:t>NOTE DE PRÉSENTA</w:t>
      </w:r>
      <w:r w:rsidR="003523B9" w:rsidRPr="00394EF2">
        <w:rPr>
          <w:rFonts w:ascii="Times New Roman" w:eastAsia="Times New Roman" w:hAnsi="Times New Roman"/>
          <w:b/>
          <w:bCs/>
          <w:color w:val="0070C0"/>
          <w:sz w:val="40"/>
          <w:szCs w:val="24"/>
          <w:lang w:eastAsia="fr-FR"/>
        </w:rPr>
        <w:t xml:space="preserve">TION </w:t>
      </w:r>
    </w:p>
    <w:p w14:paraId="58B3DCE7" w14:textId="77777777" w:rsidR="006D51B8" w:rsidRPr="00E856C9" w:rsidRDefault="003523B9" w:rsidP="007E34A2">
      <w:pPr>
        <w:spacing w:after="0" w:line="240" w:lineRule="auto"/>
        <w:ind w:left="1416" w:firstLine="708"/>
        <w:rPr>
          <w:rFonts w:ascii="Times New Roman" w:eastAsia="Times New Roman" w:hAnsi="Times New Roman"/>
          <w:sz w:val="24"/>
          <w:szCs w:val="24"/>
          <w:lang w:eastAsia="fr-FR"/>
        </w:rPr>
      </w:pPr>
      <w:r w:rsidRPr="00E856C9">
        <w:rPr>
          <w:rFonts w:ascii="Times New Roman" w:eastAsia="Times New Roman" w:hAnsi="Times New Roman"/>
          <w:b/>
          <w:bCs/>
          <w:sz w:val="24"/>
          <w:szCs w:val="24"/>
          <w:lang w:eastAsia="fr-FR"/>
        </w:rPr>
        <w:t>PLAN DE T</w:t>
      </w:r>
      <w:r w:rsidR="007E34A2" w:rsidRPr="00E856C9">
        <w:rPr>
          <w:rFonts w:ascii="Times New Roman" w:eastAsia="Times New Roman" w:hAnsi="Times New Roman"/>
          <w:b/>
          <w:bCs/>
          <w:sz w:val="24"/>
          <w:szCs w:val="24"/>
          <w:lang w:eastAsia="fr-FR"/>
        </w:rPr>
        <w:t xml:space="preserve">RAVAIL ANNUEL </w:t>
      </w:r>
      <w:r w:rsidR="006D51B8" w:rsidRPr="00E856C9">
        <w:rPr>
          <w:rFonts w:ascii="Times New Roman" w:eastAsia="Times New Roman" w:hAnsi="Times New Roman"/>
          <w:b/>
          <w:bCs/>
          <w:sz w:val="24"/>
          <w:szCs w:val="24"/>
          <w:lang w:eastAsia="fr-FR"/>
        </w:rPr>
        <w:t>2025</w:t>
      </w:r>
    </w:p>
    <w:p w14:paraId="072E5F1D" w14:textId="77777777" w:rsidR="006D51B8" w:rsidRPr="00394EF2" w:rsidRDefault="006D51B8" w:rsidP="006D51B8">
      <w:pPr>
        <w:spacing w:before="100" w:beforeAutospacing="1" w:after="100" w:afterAutospacing="1" w:line="240" w:lineRule="auto"/>
        <w:outlineLvl w:val="2"/>
        <w:rPr>
          <w:rFonts w:ascii="Times New Roman" w:eastAsia="Times New Roman" w:hAnsi="Times New Roman"/>
          <w:b/>
          <w:bCs/>
          <w:color w:val="0070C0"/>
          <w:sz w:val="27"/>
          <w:szCs w:val="27"/>
          <w:lang w:eastAsia="fr-FR"/>
        </w:rPr>
      </w:pPr>
      <w:r w:rsidRPr="00394EF2">
        <w:rPr>
          <w:rFonts w:ascii="Times New Roman" w:eastAsia="Times New Roman" w:hAnsi="Times New Roman"/>
          <w:b/>
          <w:bCs/>
          <w:color w:val="0070C0"/>
          <w:sz w:val="27"/>
          <w:szCs w:val="27"/>
          <w:lang w:eastAsia="fr-FR"/>
        </w:rPr>
        <w:t xml:space="preserve">1. </w:t>
      </w:r>
      <w:r w:rsidR="003270DD" w:rsidRPr="00394EF2">
        <w:rPr>
          <w:rFonts w:ascii="Times New Roman" w:eastAsia="Times New Roman" w:hAnsi="Times New Roman"/>
          <w:b/>
          <w:bCs/>
          <w:color w:val="0070C0"/>
          <w:sz w:val="27"/>
          <w:szCs w:val="27"/>
          <w:lang w:eastAsia="fr-FR"/>
        </w:rPr>
        <w:t xml:space="preserve">Introduction : </w:t>
      </w:r>
      <w:r w:rsidRPr="00394EF2">
        <w:rPr>
          <w:rFonts w:ascii="Times New Roman" w:eastAsia="Times New Roman" w:hAnsi="Times New Roman"/>
          <w:b/>
          <w:bCs/>
          <w:color w:val="0070C0"/>
          <w:sz w:val="27"/>
          <w:szCs w:val="27"/>
          <w:lang w:eastAsia="fr-FR"/>
        </w:rPr>
        <w:t>Contexte et justification</w:t>
      </w:r>
    </w:p>
    <w:p w14:paraId="1903A32B" w14:textId="77777777" w:rsidR="007F75A2" w:rsidRPr="005A7108" w:rsidRDefault="00EA02E1" w:rsidP="003270DD">
      <w:pPr>
        <w:spacing w:before="100" w:beforeAutospacing="1" w:after="100" w:afterAutospacing="1" w:line="240" w:lineRule="auto"/>
        <w:jc w:val="both"/>
        <w:rPr>
          <w:rFonts w:ascii="Times New Roman" w:eastAsia="Times New Roman" w:hAnsi="Times New Roman"/>
          <w:sz w:val="24"/>
          <w:szCs w:val="24"/>
          <w:lang w:eastAsia="fr-FR"/>
        </w:rPr>
      </w:pPr>
      <w:r w:rsidRPr="005A7108">
        <w:rPr>
          <w:rFonts w:ascii="Times New Roman" w:eastAsia="Times New Roman" w:hAnsi="Times New Roman"/>
          <w:sz w:val="24"/>
          <w:szCs w:val="24"/>
          <w:lang w:eastAsia="fr-FR"/>
        </w:rPr>
        <w:t>L</w:t>
      </w:r>
      <w:r w:rsidR="003270DD" w:rsidRPr="005A7108">
        <w:rPr>
          <w:rFonts w:ascii="Times New Roman" w:eastAsia="Times New Roman" w:hAnsi="Times New Roman"/>
          <w:sz w:val="24"/>
          <w:szCs w:val="24"/>
          <w:lang w:eastAsia="fr-FR"/>
        </w:rPr>
        <w:t>e Cameroun poursuit</w:t>
      </w:r>
      <w:r w:rsidR="001F1DA1" w:rsidRPr="005A7108">
        <w:rPr>
          <w:rFonts w:ascii="Times New Roman" w:eastAsia="Times New Roman" w:hAnsi="Times New Roman"/>
          <w:sz w:val="24"/>
          <w:szCs w:val="24"/>
          <w:lang w:eastAsia="fr-FR"/>
        </w:rPr>
        <w:t xml:space="preserve"> en 2025,</w:t>
      </w:r>
      <w:r w:rsidR="003270DD" w:rsidRPr="005A7108">
        <w:rPr>
          <w:rFonts w:ascii="Times New Roman" w:eastAsia="Times New Roman" w:hAnsi="Times New Roman"/>
          <w:sz w:val="24"/>
          <w:szCs w:val="24"/>
          <w:lang w:eastAsia="fr-FR"/>
        </w:rPr>
        <w:t xml:space="preserve"> </w:t>
      </w:r>
      <w:r w:rsidR="00394EF2" w:rsidRPr="005A7108">
        <w:rPr>
          <w:rFonts w:ascii="Times New Roman" w:eastAsia="Times New Roman" w:hAnsi="Times New Roman"/>
          <w:sz w:val="24"/>
          <w:szCs w:val="24"/>
          <w:lang w:eastAsia="fr-FR"/>
        </w:rPr>
        <w:t xml:space="preserve">la </w:t>
      </w:r>
      <w:r w:rsidR="003270DD" w:rsidRPr="005A7108">
        <w:rPr>
          <w:rFonts w:ascii="Times New Roman" w:eastAsia="Times New Roman" w:hAnsi="Times New Roman"/>
          <w:sz w:val="24"/>
          <w:szCs w:val="24"/>
          <w:lang w:eastAsia="fr-FR"/>
        </w:rPr>
        <w:t>transformation structur</w:t>
      </w:r>
      <w:r w:rsidR="001F1DA1" w:rsidRPr="005A7108">
        <w:rPr>
          <w:rFonts w:ascii="Times New Roman" w:eastAsia="Times New Roman" w:hAnsi="Times New Roman"/>
          <w:sz w:val="24"/>
          <w:szCs w:val="24"/>
          <w:lang w:eastAsia="fr-FR"/>
        </w:rPr>
        <w:t>elle de son économie, en droite ligne des</w:t>
      </w:r>
      <w:r w:rsidR="007E34A2" w:rsidRPr="005A7108">
        <w:rPr>
          <w:rFonts w:ascii="Times New Roman" w:eastAsia="Times New Roman" w:hAnsi="Times New Roman"/>
          <w:sz w:val="24"/>
          <w:szCs w:val="24"/>
          <w:lang w:eastAsia="fr-FR"/>
        </w:rPr>
        <w:t xml:space="preserve"> orientations</w:t>
      </w:r>
      <w:r w:rsidR="003270DD" w:rsidRPr="005A7108">
        <w:rPr>
          <w:rFonts w:ascii="Times New Roman" w:eastAsia="Times New Roman" w:hAnsi="Times New Roman"/>
          <w:sz w:val="24"/>
          <w:szCs w:val="24"/>
          <w:lang w:eastAsia="fr-FR"/>
        </w:rPr>
        <w:t xml:space="preserve"> de la Stratégie Nationale de Développement 2020-</w:t>
      </w:r>
      <w:r w:rsidR="003E6567" w:rsidRPr="005A7108">
        <w:rPr>
          <w:rFonts w:ascii="Times New Roman" w:eastAsia="Times New Roman" w:hAnsi="Times New Roman"/>
          <w:sz w:val="24"/>
          <w:szCs w:val="24"/>
          <w:lang w:eastAsia="fr-FR"/>
        </w:rPr>
        <w:t>2030 (SND30) prescrites par</w:t>
      </w:r>
      <w:r w:rsidR="003270DD" w:rsidRPr="005A7108">
        <w:rPr>
          <w:rFonts w:ascii="Times New Roman" w:eastAsia="Times New Roman" w:hAnsi="Times New Roman"/>
          <w:sz w:val="24"/>
          <w:szCs w:val="24"/>
          <w:lang w:eastAsia="fr-FR"/>
        </w:rPr>
        <w:t xml:space="preserve"> S.E.M. Paul BI</w:t>
      </w:r>
      <w:r w:rsidR="007F75A2" w:rsidRPr="005A7108">
        <w:rPr>
          <w:rFonts w:ascii="Times New Roman" w:eastAsia="Times New Roman" w:hAnsi="Times New Roman"/>
          <w:sz w:val="24"/>
          <w:szCs w:val="24"/>
          <w:lang w:eastAsia="fr-FR"/>
        </w:rPr>
        <w:t xml:space="preserve">YA, Chef de l'État. </w:t>
      </w:r>
    </w:p>
    <w:p w14:paraId="3B9774F9" w14:textId="23CEDFB2" w:rsidR="003270DD" w:rsidRPr="005A7108" w:rsidRDefault="007F75A2" w:rsidP="003270DD">
      <w:pPr>
        <w:spacing w:before="100" w:beforeAutospacing="1" w:after="100" w:afterAutospacing="1" w:line="240" w:lineRule="auto"/>
        <w:jc w:val="both"/>
        <w:rPr>
          <w:rFonts w:ascii="Times New Roman" w:eastAsia="Times New Roman" w:hAnsi="Times New Roman"/>
          <w:sz w:val="24"/>
          <w:szCs w:val="24"/>
          <w:lang w:eastAsia="fr-FR"/>
        </w:rPr>
      </w:pPr>
      <w:r w:rsidRPr="005A7108">
        <w:rPr>
          <w:rFonts w:ascii="Times New Roman" w:eastAsia="Times New Roman" w:hAnsi="Times New Roman"/>
          <w:sz w:val="24"/>
          <w:szCs w:val="24"/>
          <w:lang w:eastAsia="fr-FR"/>
        </w:rPr>
        <w:t>D</w:t>
      </w:r>
      <w:r w:rsidR="003270DD" w:rsidRPr="005A7108">
        <w:rPr>
          <w:rFonts w:ascii="Times New Roman" w:eastAsia="Times New Roman" w:hAnsi="Times New Roman"/>
          <w:sz w:val="24"/>
          <w:szCs w:val="24"/>
          <w:lang w:eastAsia="fr-FR"/>
        </w:rPr>
        <w:t>ans cette dynamique</w:t>
      </w:r>
      <w:r w:rsidRPr="005A7108">
        <w:rPr>
          <w:rFonts w:ascii="Times New Roman" w:eastAsia="Times New Roman" w:hAnsi="Times New Roman"/>
          <w:sz w:val="24"/>
          <w:szCs w:val="24"/>
          <w:lang w:eastAsia="fr-FR"/>
        </w:rPr>
        <w:t>,</w:t>
      </w:r>
      <w:r w:rsidR="003270DD" w:rsidRPr="005A7108">
        <w:rPr>
          <w:rFonts w:ascii="Times New Roman" w:eastAsia="Times New Roman" w:hAnsi="Times New Roman"/>
          <w:sz w:val="24"/>
          <w:szCs w:val="24"/>
          <w:lang w:eastAsia="fr-FR"/>
        </w:rPr>
        <w:t xml:space="preserve"> des priorités sectorielles claires </w:t>
      </w:r>
      <w:r w:rsidRPr="005A7108">
        <w:rPr>
          <w:rFonts w:ascii="Times New Roman" w:eastAsia="Times New Roman" w:hAnsi="Times New Roman"/>
          <w:sz w:val="24"/>
          <w:szCs w:val="24"/>
          <w:lang w:eastAsia="fr-FR"/>
        </w:rPr>
        <w:t xml:space="preserve">sont </w:t>
      </w:r>
      <w:r w:rsidR="003270DD" w:rsidRPr="005A7108">
        <w:rPr>
          <w:rFonts w:ascii="Times New Roman" w:eastAsia="Times New Roman" w:hAnsi="Times New Roman"/>
          <w:sz w:val="24"/>
          <w:szCs w:val="24"/>
          <w:lang w:eastAsia="fr-FR"/>
        </w:rPr>
        <w:t>déclinées dans le Programme économique, social et financier</w:t>
      </w:r>
      <w:r w:rsidR="003E6567" w:rsidRPr="005A7108">
        <w:rPr>
          <w:rFonts w:ascii="Times New Roman" w:eastAsia="Times New Roman" w:hAnsi="Times New Roman"/>
          <w:sz w:val="24"/>
          <w:szCs w:val="24"/>
          <w:lang w:eastAsia="fr-FR"/>
        </w:rPr>
        <w:t xml:space="preserve"> pour le compte de l’exercice 2025</w:t>
      </w:r>
      <w:r w:rsidR="003270DD" w:rsidRPr="005A7108">
        <w:rPr>
          <w:rFonts w:ascii="Times New Roman" w:eastAsia="Times New Roman" w:hAnsi="Times New Roman"/>
          <w:sz w:val="24"/>
          <w:szCs w:val="24"/>
          <w:lang w:eastAsia="fr-FR"/>
        </w:rPr>
        <w:t xml:space="preserve"> présenté par le Premier Ministre, Chef du Gouvernement, </w:t>
      </w:r>
      <w:r w:rsidR="00326CE4" w:rsidRPr="005A7108">
        <w:rPr>
          <w:rFonts w:ascii="Times New Roman" w:eastAsia="Times New Roman" w:hAnsi="Times New Roman"/>
          <w:sz w:val="24"/>
          <w:szCs w:val="24"/>
          <w:lang w:eastAsia="fr-FR"/>
        </w:rPr>
        <w:t>devant le Parlement</w:t>
      </w:r>
      <w:r w:rsidR="003270DD" w:rsidRPr="005A7108">
        <w:rPr>
          <w:rFonts w:ascii="Times New Roman" w:eastAsia="Times New Roman" w:hAnsi="Times New Roman"/>
          <w:sz w:val="24"/>
          <w:szCs w:val="24"/>
          <w:lang w:eastAsia="fr-FR"/>
        </w:rPr>
        <w:t>.</w:t>
      </w:r>
      <w:r w:rsidRPr="005A7108">
        <w:rPr>
          <w:rFonts w:ascii="Times New Roman" w:eastAsia="Times New Roman" w:hAnsi="Times New Roman"/>
          <w:sz w:val="24"/>
          <w:szCs w:val="24"/>
          <w:lang w:eastAsia="fr-FR"/>
        </w:rPr>
        <w:t xml:space="preserve"> </w:t>
      </w:r>
      <w:r w:rsidR="003270DD" w:rsidRPr="005A7108">
        <w:rPr>
          <w:rFonts w:ascii="Times New Roman" w:eastAsia="Times New Roman" w:hAnsi="Times New Roman"/>
          <w:sz w:val="24"/>
          <w:szCs w:val="24"/>
          <w:lang w:eastAsia="fr-FR"/>
        </w:rPr>
        <w:t xml:space="preserve">Dans ce cadre, le secteur extractif occupe une place de choix avec des avancées notables dans </w:t>
      </w:r>
      <w:r w:rsidR="008A13DB" w:rsidRPr="005A7108">
        <w:rPr>
          <w:rFonts w:ascii="Times New Roman" w:eastAsia="Times New Roman" w:hAnsi="Times New Roman"/>
          <w:sz w:val="24"/>
          <w:szCs w:val="24"/>
          <w:lang w:eastAsia="fr-FR"/>
        </w:rPr>
        <w:t>les domaines miniers</w:t>
      </w:r>
      <w:r w:rsidR="003270DD" w:rsidRPr="005A7108">
        <w:rPr>
          <w:rFonts w:ascii="Times New Roman" w:eastAsia="Times New Roman" w:hAnsi="Times New Roman"/>
          <w:sz w:val="24"/>
          <w:szCs w:val="24"/>
          <w:lang w:eastAsia="fr-FR"/>
        </w:rPr>
        <w:t>, pétrolier et gazier. L’exploitation et la commercialisation des minerais, la valorisation des ressources pétrolières et gazières ainsi que l’augmentation des recettes publiques figurent parmi les axes stratégiques majeurs pour 2025. En outre, la protection de l’environnement, la lutte contre la corruption et la transparence financière restent au cœur des engagements du Cameroun.</w:t>
      </w:r>
    </w:p>
    <w:p w14:paraId="3C6F51D1" w14:textId="42BCBA25" w:rsidR="00C06861" w:rsidRPr="005A7108" w:rsidRDefault="00745C40" w:rsidP="006A433D">
      <w:pPr>
        <w:spacing w:before="100" w:beforeAutospacing="1" w:after="100" w:afterAutospacing="1" w:line="240" w:lineRule="auto"/>
        <w:jc w:val="both"/>
        <w:rPr>
          <w:rFonts w:ascii="Times New Roman" w:eastAsia="Times New Roman" w:hAnsi="Times New Roman"/>
          <w:sz w:val="24"/>
          <w:szCs w:val="24"/>
          <w:lang w:eastAsia="fr-FR"/>
        </w:rPr>
      </w:pPr>
      <w:r w:rsidRPr="005A7108">
        <w:rPr>
          <w:rFonts w:ascii="Times New Roman" w:eastAsia="Times New Roman" w:hAnsi="Times New Roman"/>
          <w:sz w:val="24"/>
          <w:szCs w:val="24"/>
          <w:lang w:eastAsia="fr-FR"/>
        </w:rPr>
        <w:t>Au plan de la mise en œuvre de l’Initiative, le Cameroun a été</w:t>
      </w:r>
      <w:r w:rsidR="003270DD" w:rsidRPr="005A7108">
        <w:rPr>
          <w:rFonts w:ascii="Times New Roman" w:eastAsia="Times New Roman" w:hAnsi="Times New Roman"/>
          <w:sz w:val="24"/>
          <w:szCs w:val="24"/>
          <w:lang w:eastAsia="fr-FR"/>
        </w:rPr>
        <w:t xml:space="preserve"> suspendu le 29 février 2024 de l’ITIE, </w:t>
      </w:r>
      <w:r w:rsidRPr="005A7108">
        <w:rPr>
          <w:rFonts w:ascii="Times New Roman" w:eastAsia="Times New Roman" w:hAnsi="Times New Roman"/>
          <w:sz w:val="24"/>
          <w:szCs w:val="24"/>
          <w:lang w:eastAsia="fr-FR"/>
        </w:rPr>
        <w:t xml:space="preserve">et depuis lors, le </w:t>
      </w:r>
      <w:r w:rsidR="00326CE4" w:rsidRPr="005A7108">
        <w:rPr>
          <w:rFonts w:ascii="Times New Roman" w:eastAsia="Times New Roman" w:hAnsi="Times New Roman"/>
          <w:sz w:val="24"/>
          <w:szCs w:val="24"/>
          <w:lang w:eastAsia="fr-FR"/>
        </w:rPr>
        <w:t xml:space="preserve">pays </w:t>
      </w:r>
      <w:r w:rsidR="003270DD" w:rsidRPr="005A7108">
        <w:rPr>
          <w:rFonts w:ascii="Times New Roman" w:eastAsia="Times New Roman" w:hAnsi="Times New Roman"/>
          <w:sz w:val="24"/>
          <w:szCs w:val="24"/>
          <w:lang w:eastAsia="fr-FR"/>
        </w:rPr>
        <w:t>cherche</w:t>
      </w:r>
      <w:r w:rsidR="009C1957" w:rsidRPr="005A7108">
        <w:rPr>
          <w:rFonts w:ascii="Times New Roman" w:eastAsia="Times New Roman" w:hAnsi="Times New Roman"/>
          <w:sz w:val="24"/>
          <w:szCs w:val="24"/>
          <w:lang w:eastAsia="fr-FR"/>
        </w:rPr>
        <w:t xml:space="preserve"> à </w:t>
      </w:r>
      <w:r w:rsidR="003270DD" w:rsidRPr="005A7108">
        <w:rPr>
          <w:rFonts w:ascii="Times New Roman" w:eastAsia="Times New Roman" w:hAnsi="Times New Roman"/>
          <w:sz w:val="24"/>
          <w:szCs w:val="24"/>
          <w:lang w:eastAsia="fr-FR"/>
        </w:rPr>
        <w:t>rétablir sa conformité à la Norme ITIE en mettant en œuvre des actions prioritaires à travers un Plan de Travail Annuel (PTA) pour 2025.</w:t>
      </w:r>
      <w:r w:rsidR="006A433D">
        <w:rPr>
          <w:rFonts w:ascii="Times New Roman" w:eastAsia="Times New Roman" w:hAnsi="Times New Roman"/>
          <w:sz w:val="24"/>
          <w:szCs w:val="24"/>
          <w:lang w:eastAsia="fr-FR"/>
        </w:rPr>
        <w:t xml:space="preserve"> L’élaboration de ce PTA intervient au lendemain de la révision du modèle de Validation ITIE</w:t>
      </w:r>
      <w:r w:rsidR="00A20DA3">
        <w:rPr>
          <w:rFonts w:ascii="Times New Roman" w:eastAsia="Times New Roman" w:hAnsi="Times New Roman"/>
          <w:sz w:val="24"/>
          <w:szCs w:val="24"/>
          <w:lang w:eastAsia="fr-FR"/>
        </w:rPr>
        <w:t xml:space="preserve"> par le Conseil d’administration de l’ITIE</w:t>
      </w:r>
      <w:r w:rsidR="006A433D">
        <w:rPr>
          <w:rFonts w:ascii="Times New Roman" w:eastAsia="Times New Roman" w:hAnsi="Times New Roman"/>
          <w:sz w:val="24"/>
          <w:szCs w:val="24"/>
          <w:lang w:eastAsia="fr-FR"/>
        </w:rPr>
        <w:t>.</w:t>
      </w:r>
      <w:r w:rsidR="003270DD" w:rsidRPr="005A7108">
        <w:rPr>
          <w:rFonts w:ascii="Times New Roman" w:eastAsia="Times New Roman" w:hAnsi="Times New Roman"/>
          <w:sz w:val="24"/>
          <w:szCs w:val="24"/>
          <w:lang w:eastAsia="fr-FR"/>
        </w:rPr>
        <w:t xml:space="preserve"> Ce document, fruit d’une consultation approfondie des parties prenantes, décrit les priorités nationales, les objectifs stratégique</w:t>
      </w:r>
      <w:r w:rsidR="006A433D">
        <w:rPr>
          <w:rFonts w:ascii="Times New Roman" w:eastAsia="Times New Roman" w:hAnsi="Times New Roman"/>
          <w:sz w:val="24"/>
          <w:szCs w:val="24"/>
          <w:lang w:eastAsia="fr-FR"/>
        </w:rPr>
        <w:t xml:space="preserve"> et prioritaires</w:t>
      </w:r>
      <w:r w:rsidR="003270DD" w:rsidRPr="005A7108">
        <w:rPr>
          <w:rFonts w:ascii="Times New Roman" w:eastAsia="Times New Roman" w:hAnsi="Times New Roman"/>
          <w:sz w:val="24"/>
          <w:szCs w:val="24"/>
          <w:lang w:eastAsia="fr-FR"/>
        </w:rPr>
        <w:t xml:space="preserve"> </w:t>
      </w:r>
      <w:r w:rsidR="006A433D">
        <w:rPr>
          <w:rFonts w:ascii="Times New Roman" w:eastAsia="Times New Roman" w:hAnsi="Times New Roman"/>
          <w:sz w:val="24"/>
          <w:szCs w:val="24"/>
          <w:lang w:eastAsia="fr-FR"/>
        </w:rPr>
        <w:t>ainsi que</w:t>
      </w:r>
      <w:r w:rsidR="003270DD" w:rsidRPr="005A7108">
        <w:rPr>
          <w:rFonts w:ascii="Times New Roman" w:eastAsia="Times New Roman" w:hAnsi="Times New Roman"/>
          <w:sz w:val="24"/>
          <w:szCs w:val="24"/>
          <w:lang w:eastAsia="fr-FR"/>
        </w:rPr>
        <w:t xml:space="preserve"> les mécanismes de mise en </w:t>
      </w:r>
      <w:r w:rsidR="00566CE9" w:rsidRPr="005A7108">
        <w:rPr>
          <w:rFonts w:ascii="Times New Roman" w:eastAsia="Times New Roman" w:hAnsi="Times New Roman"/>
          <w:sz w:val="24"/>
          <w:szCs w:val="24"/>
          <w:lang w:eastAsia="fr-FR"/>
        </w:rPr>
        <w:t>œuvre pour la relance de l’I</w:t>
      </w:r>
      <w:r w:rsidR="003270DD" w:rsidRPr="005A7108">
        <w:rPr>
          <w:rFonts w:ascii="Times New Roman" w:eastAsia="Times New Roman" w:hAnsi="Times New Roman"/>
          <w:sz w:val="24"/>
          <w:szCs w:val="24"/>
          <w:lang w:eastAsia="fr-FR"/>
        </w:rPr>
        <w:t>nitiative au Cameroun.</w:t>
      </w:r>
      <w:r w:rsidR="007D4BC5" w:rsidRPr="005A7108">
        <w:rPr>
          <w:rFonts w:ascii="Times New Roman" w:eastAsia="Times New Roman" w:hAnsi="Times New Roman"/>
          <w:sz w:val="24"/>
          <w:szCs w:val="24"/>
          <w:lang w:eastAsia="fr-FR"/>
        </w:rPr>
        <w:t xml:space="preserve"> </w:t>
      </w:r>
      <w:r w:rsidR="004E1443" w:rsidRPr="005A7108">
        <w:rPr>
          <w:rFonts w:ascii="Times New Roman" w:eastAsia="Times New Roman" w:hAnsi="Times New Roman"/>
          <w:sz w:val="24"/>
          <w:szCs w:val="24"/>
          <w:lang w:eastAsia="fr-FR"/>
        </w:rPr>
        <w:t>Le</w:t>
      </w:r>
      <w:r w:rsidR="007D4BC5" w:rsidRPr="005A7108">
        <w:rPr>
          <w:rFonts w:ascii="Times New Roman" w:eastAsia="Times New Roman" w:hAnsi="Times New Roman"/>
          <w:sz w:val="24"/>
          <w:szCs w:val="24"/>
          <w:lang w:eastAsia="fr-FR"/>
        </w:rPr>
        <w:t xml:space="preserve"> présent Plan</w:t>
      </w:r>
      <w:r w:rsidR="00C06861" w:rsidRPr="005A7108">
        <w:rPr>
          <w:rFonts w:ascii="Times New Roman" w:eastAsia="Times New Roman" w:hAnsi="Times New Roman"/>
          <w:sz w:val="24"/>
          <w:szCs w:val="24"/>
          <w:lang w:eastAsia="fr-FR"/>
        </w:rPr>
        <w:t xml:space="preserve"> vise à garantir une meilleure transparence, renforcer la confiance des citoyens et des investisseurs, et aligner la gouvernance des ressources extractives avec les standards internationaux.</w:t>
      </w:r>
    </w:p>
    <w:p w14:paraId="15A2A535" w14:textId="77777777" w:rsidR="00A911DE" w:rsidRPr="00A911DE" w:rsidRDefault="005C11B8" w:rsidP="009C1957">
      <w:pPr>
        <w:spacing w:after="0"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2</w:t>
      </w:r>
      <w:r w:rsidR="00A911DE" w:rsidRPr="00A911DE">
        <w:rPr>
          <w:rFonts w:ascii="Times New Roman" w:eastAsia="Times New Roman" w:hAnsi="Times New Roman"/>
          <w:b/>
          <w:bCs/>
          <w:sz w:val="27"/>
          <w:szCs w:val="27"/>
          <w:lang w:eastAsia="fr-FR"/>
        </w:rPr>
        <w:t xml:space="preserve">. Priorités Nationales </w:t>
      </w:r>
    </w:p>
    <w:p w14:paraId="1BA89369" w14:textId="77777777" w:rsidR="00A911DE" w:rsidRPr="005A7108" w:rsidRDefault="00A911DE" w:rsidP="004A2A3C">
      <w:pPr>
        <w:spacing w:after="0" w:line="240" w:lineRule="auto"/>
        <w:jc w:val="both"/>
        <w:rPr>
          <w:rFonts w:ascii="Times New Roman" w:eastAsia="Times New Roman" w:hAnsi="Times New Roman"/>
          <w:sz w:val="24"/>
          <w:szCs w:val="24"/>
          <w:lang w:eastAsia="fr-FR"/>
        </w:rPr>
      </w:pPr>
      <w:r w:rsidRPr="005A7108">
        <w:rPr>
          <w:rFonts w:ascii="Times New Roman" w:eastAsia="Times New Roman" w:hAnsi="Times New Roman"/>
          <w:sz w:val="24"/>
          <w:szCs w:val="24"/>
          <w:lang w:eastAsia="fr-FR"/>
        </w:rPr>
        <w:t>Les priorités nationales du secteur extractif en 2025 s’articulent autour des axes suivants :</w:t>
      </w:r>
    </w:p>
    <w:p w14:paraId="2D2BDC9E" w14:textId="752FF532" w:rsidR="004A2A3C" w:rsidRPr="005A7108" w:rsidRDefault="004A2A3C" w:rsidP="004A2A3C">
      <w:pPr>
        <w:numPr>
          <w:ilvl w:val="0"/>
          <w:numId w:val="10"/>
        </w:numPr>
        <w:spacing w:after="0" w:line="240" w:lineRule="auto"/>
        <w:jc w:val="both"/>
        <w:rPr>
          <w:rFonts w:ascii="Times New Roman" w:eastAsia="Times New Roman" w:hAnsi="Times New Roman"/>
          <w:sz w:val="24"/>
          <w:szCs w:val="24"/>
          <w:lang w:eastAsia="fr-FR"/>
        </w:rPr>
      </w:pPr>
      <w:r w:rsidRPr="005A7108">
        <w:rPr>
          <w:rFonts w:ascii="Times New Roman" w:eastAsia="Times New Roman" w:hAnsi="Times New Roman"/>
          <w:b/>
          <w:bCs/>
          <w:color w:val="00B050"/>
          <w:sz w:val="24"/>
          <w:szCs w:val="24"/>
          <w:lang w:eastAsia="fr-FR"/>
        </w:rPr>
        <w:t xml:space="preserve">Secteur minier </w:t>
      </w:r>
      <w:r w:rsidRPr="005A7108">
        <w:rPr>
          <w:rFonts w:ascii="Times New Roman" w:eastAsia="Times New Roman" w:hAnsi="Times New Roman"/>
          <w:b/>
          <w:bCs/>
          <w:sz w:val="24"/>
          <w:szCs w:val="24"/>
          <w:lang w:eastAsia="fr-FR"/>
        </w:rPr>
        <w:t>:</w:t>
      </w:r>
      <w:r w:rsidRPr="005A7108">
        <w:rPr>
          <w:rFonts w:ascii="Times New Roman" w:eastAsia="Times New Roman" w:hAnsi="Times New Roman"/>
          <w:sz w:val="24"/>
          <w:szCs w:val="24"/>
          <w:lang w:eastAsia="fr-FR"/>
        </w:rPr>
        <w:t xml:space="preserve"> Renforcement des projets miniers en cours, lancement du projet industriel d’exploitation de la bauxite de Mini Martap, restructuration de l’exploitation artisanale semi-mécanisée de l’or pour renforcer les réserves d’or de l’État</w:t>
      </w:r>
      <w:r w:rsidRPr="005A7108">
        <w:rPr>
          <w:rStyle w:val="Appelnotedebasdep"/>
          <w:rFonts w:ascii="Times New Roman" w:eastAsia="Times New Roman" w:hAnsi="Times New Roman"/>
          <w:sz w:val="24"/>
          <w:szCs w:val="24"/>
          <w:lang w:eastAsia="fr-FR"/>
        </w:rPr>
        <w:footnoteReference w:id="1"/>
      </w:r>
      <w:r w:rsidRPr="005A7108">
        <w:rPr>
          <w:rFonts w:ascii="Times New Roman" w:eastAsia="Times New Roman" w:hAnsi="Times New Roman"/>
          <w:sz w:val="24"/>
          <w:szCs w:val="24"/>
          <w:lang w:eastAsia="fr-FR"/>
        </w:rPr>
        <w:t xml:space="preserve">. Signature de huit textes </w:t>
      </w:r>
      <w:r w:rsidRPr="005A7108">
        <w:rPr>
          <w:rFonts w:ascii="Times New Roman" w:eastAsia="Times New Roman" w:hAnsi="Times New Roman"/>
          <w:sz w:val="24"/>
          <w:szCs w:val="24"/>
          <w:lang w:eastAsia="fr-FR"/>
        </w:rPr>
        <w:lastRenderedPageBreak/>
        <w:t>d’application du Code Minier.</w:t>
      </w:r>
      <w:r w:rsidR="004F1DD3" w:rsidRPr="005A7108">
        <w:rPr>
          <w:rFonts w:ascii="Times New Roman" w:eastAsia="Times New Roman" w:hAnsi="Times New Roman"/>
          <w:sz w:val="24"/>
          <w:szCs w:val="24"/>
          <w:lang w:eastAsia="fr-FR"/>
        </w:rPr>
        <w:t xml:space="preserve"> Renforcement des capacités techniques et financières de la SONAMINES</w:t>
      </w:r>
      <w:r w:rsidR="00C40487" w:rsidRPr="005A7108">
        <w:rPr>
          <w:rFonts w:ascii="Times New Roman" w:eastAsia="Times New Roman" w:hAnsi="Times New Roman"/>
          <w:sz w:val="24"/>
          <w:szCs w:val="24"/>
          <w:lang w:eastAsia="fr-FR"/>
        </w:rPr>
        <w:t>.</w:t>
      </w:r>
    </w:p>
    <w:p w14:paraId="06BB5917" w14:textId="77777777" w:rsidR="004A2A3C" w:rsidRPr="005A7108" w:rsidRDefault="004A2A3C" w:rsidP="004A2A3C">
      <w:pPr>
        <w:numPr>
          <w:ilvl w:val="0"/>
          <w:numId w:val="10"/>
        </w:numPr>
        <w:spacing w:after="0" w:line="240" w:lineRule="auto"/>
        <w:jc w:val="both"/>
        <w:rPr>
          <w:rFonts w:ascii="Times New Roman" w:eastAsia="Times New Roman" w:hAnsi="Times New Roman"/>
          <w:sz w:val="24"/>
          <w:szCs w:val="24"/>
          <w:lang w:eastAsia="fr-FR"/>
        </w:rPr>
      </w:pPr>
      <w:r w:rsidRPr="005A7108">
        <w:rPr>
          <w:rFonts w:ascii="Times New Roman" w:eastAsia="Times New Roman" w:hAnsi="Times New Roman"/>
          <w:b/>
          <w:bCs/>
          <w:color w:val="00B050"/>
          <w:sz w:val="24"/>
          <w:szCs w:val="24"/>
          <w:lang w:eastAsia="fr-FR"/>
        </w:rPr>
        <w:t xml:space="preserve">Secteur pétrolier et gazier </w:t>
      </w:r>
      <w:r w:rsidRPr="005A7108">
        <w:rPr>
          <w:rFonts w:ascii="Times New Roman" w:eastAsia="Times New Roman" w:hAnsi="Times New Roman"/>
          <w:b/>
          <w:bCs/>
          <w:sz w:val="24"/>
          <w:szCs w:val="24"/>
          <w:lang w:eastAsia="fr-FR"/>
        </w:rPr>
        <w:t>:</w:t>
      </w:r>
      <w:r w:rsidRPr="005A7108">
        <w:rPr>
          <w:rFonts w:ascii="Times New Roman" w:eastAsia="Times New Roman" w:hAnsi="Times New Roman"/>
          <w:sz w:val="24"/>
          <w:szCs w:val="24"/>
          <w:lang w:eastAsia="fr-FR"/>
        </w:rPr>
        <w:t xml:space="preserve"> Valorisation du potentiel pétrolier et gazier, accroissement des réserves, augmentation et maintien de la production</w:t>
      </w:r>
      <w:r w:rsidRPr="005A7108">
        <w:rPr>
          <w:rStyle w:val="Appelnotedebasdep"/>
          <w:rFonts w:ascii="Times New Roman" w:eastAsia="Times New Roman" w:hAnsi="Times New Roman"/>
          <w:sz w:val="24"/>
          <w:szCs w:val="24"/>
          <w:lang w:eastAsia="fr-FR"/>
        </w:rPr>
        <w:footnoteReference w:id="2"/>
      </w:r>
      <w:r w:rsidRPr="005A7108">
        <w:rPr>
          <w:rFonts w:ascii="Times New Roman" w:eastAsia="Times New Roman" w:hAnsi="Times New Roman"/>
          <w:sz w:val="24"/>
          <w:szCs w:val="24"/>
          <w:lang w:eastAsia="fr-FR"/>
        </w:rPr>
        <w:t>.</w:t>
      </w:r>
    </w:p>
    <w:p w14:paraId="5C5589F7" w14:textId="77777777" w:rsidR="004A2A3C" w:rsidRPr="005A7108" w:rsidRDefault="004A2A3C" w:rsidP="004A2A3C">
      <w:pPr>
        <w:numPr>
          <w:ilvl w:val="0"/>
          <w:numId w:val="10"/>
        </w:numPr>
        <w:spacing w:after="0" w:line="240" w:lineRule="auto"/>
        <w:jc w:val="both"/>
        <w:rPr>
          <w:rFonts w:ascii="Times New Roman" w:eastAsia="Times New Roman" w:hAnsi="Times New Roman"/>
          <w:sz w:val="24"/>
          <w:szCs w:val="24"/>
          <w:lang w:eastAsia="fr-FR"/>
        </w:rPr>
      </w:pPr>
      <w:r w:rsidRPr="005A7108">
        <w:rPr>
          <w:rFonts w:ascii="Times New Roman" w:eastAsia="Times New Roman" w:hAnsi="Times New Roman"/>
          <w:b/>
          <w:bCs/>
          <w:color w:val="00B050"/>
          <w:sz w:val="24"/>
          <w:szCs w:val="24"/>
          <w:lang w:eastAsia="fr-FR"/>
        </w:rPr>
        <w:t xml:space="preserve">Finances publiques </w:t>
      </w:r>
      <w:r w:rsidRPr="005A7108">
        <w:rPr>
          <w:rFonts w:ascii="Times New Roman" w:eastAsia="Times New Roman" w:hAnsi="Times New Roman"/>
          <w:b/>
          <w:bCs/>
          <w:sz w:val="24"/>
          <w:szCs w:val="24"/>
          <w:lang w:eastAsia="fr-FR"/>
        </w:rPr>
        <w:t>:</w:t>
      </w:r>
      <w:r w:rsidRPr="005A7108">
        <w:rPr>
          <w:rFonts w:ascii="Times New Roman" w:eastAsia="Times New Roman" w:hAnsi="Times New Roman"/>
          <w:sz w:val="24"/>
          <w:szCs w:val="24"/>
          <w:lang w:eastAsia="fr-FR"/>
        </w:rPr>
        <w:t xml:space="preserve"> Augmentation des ressources de l’État à travers la réforme de la fiscalité locale et la lutte contre les flux financiers illicites</w:t>
      </w:r>
      <w:r w:rsidRPr="005A7108">
        <w:rPr>
          <w:rStyle w:val="Appelnotedebasdep"/>
          <w:rFonts w:ascii="Times New Roman" w:eastAsia="Times New Roman" w:hAnsi="Times New Roman"/>
          <w:sz w:val="24"/>
          <w:szCs w:val="24"/>
          <w:lang w:eastAsia="fr-FR"/>
        </w:rPr>
        <w:footnoteReference w:id="3"/>
      </w:r>
      <w:r w:rsidRPr="005A7108">
        <w:rPr>
          <w:rFonts w:ascii="Times New Roman" w:eastAsia="Times New Roman" w:hAnsi="Times New Roman"/>
          <w:sz w:val="24"/>
          <w:szCs w:val="24"/>
          <w:lang w:eastAsia="fr-FR"/>
        </w:rPr>
        <w:t>.</w:t>
      </w:r>
    </w:p>
    <w:p w14:paraId="589AB4ED" w14:textId="39C65837" w:rsidR="004A2A3C" w:rsidRPr="005A7108" w:rsidRDefault="004A2A3C" w:rsidP="004A2A3C">
      <w:pPr>
        <w:numPr>
          <w:ilvl w:val="0"/>
          <w:numId w:val="10"/>
        </w:numPr>
        <w:spacing w:after="0" w:line="240" w:lineRule="auto"/>
        <w:jc w:val="both"/>
        <w:rPr>
          <w:rFonts w:ascii="Times New Roman" w:eastAsia="Times New Roman" w:hAnsi="Times New Roman"/>
          <w:sz w:val="24"/>
          <w:szCs w:val="24"/>
          <w:lang w:eastAsia="fr-FR"/>
        </w:rPr>
      </w:pPr>
      <w:r w:rsidRPr="005A7108">
        <w:rPr>
          <w:rFonts w:ascii="Times New Roman" w:eastAsia="Times New Roman" w:hAnsi="Times New Roman"/>
          <w:b/>
          <w:bCs/>
          <w:color w:val="00B050"/>
          <w:sz w:val="24"/>
          <w:szCs w:val="24"/>
          <w:lang w:eastAsia="fr-FR"/>
        </w:rPr>
        <w:t>Environnement</w:t>
      </w:r>
      <w:r w:rsidRPr="005A7108">
        <w:rPr>
          <w:rFonts w:ascii="Times New Roman" w:eastAsia="Times New Roman" w:hAnsi="Times New Roman"/>
          <w:b/>
          <w:bCs/>
          <w:sz w:val="24"/>
          <w:szCs w:val="24"/>
          <w:lang w:eastAsia="fr-FR"/>
        </w:rPr>
        <w:t xml:space="preserve"> :</w:t>
      </w:r>
      <w:r w:rsidRPr="005A7108">
        <w:rPr>
          <w:rFonts w:ascii="Times New Roman" w:eastAsia="Times New Roman" w:hAnsi="Times New Roman"/>
          <w:sz w:val="24"/>
          <w:szCs w:val="24"/>
          <w:lang w:eastAsia="fr-FR"/>
        </w:rPr>
        <w:t xml:space="preserve"> Rapatriement diligent des devises, signature des conventions de comptes séquestre pour la restauration des sites extractifs</w:t>
      </w:r>
      <w:r w:rsidRPr="005A7108">
        <w:rPr>
          <w:rStyle w:val="Appelnotedebasdep"/>
          <w:rFonts w:ascii="Times New Roman" w:eastAsia="Times New Roman" w:hAnsi="Times New Roman"/>
          <w:sz w:val="24"/>
          <w:szCs w:val="24"/>
          <w:lang w:eastAsia="fr-FR"/>
        </w:rPr>
        <w:footnoteReference w:id="4"/>
      </w:r>
      <w:r w:rsidRPr="005A7108">
        <w:rPr>
          <w:rFonts w:ascii="Times New Roman" w:eastAsia="Times New Roman" w:hAnsi="Times New Roman"/>
          <w:sz w:val="24"/>
          <w:szCs w:val="24"/>
          <w:lang w:eastAsia="fr-FR"/>
        </w:rPr>
        <w:t>.</w:t>
      </w:r>
      <w:r w:rsidRPr="005A7108">
        <w:rPr>
          <w:sz w:val="24"/>
          <w:szCs w:val="24"/>
        </w:rPr>
        <w:t xml:space="preserve"> </w:t>
      </w:r>
      <w:r w:rsidRPr="005A7108">
        <w:rPr>
          <w:rFonts w:ascii="Times New Roman" w:eastAsia="Times New Roman" w:hAnsi="Times New Roman"/>
          <w:sz w:val="24"/>
          <w:szCs w:val="24"/>
          <w:lang w:eastAsia="fr-FR"/>
        </w:rPr>
        <w:t>D’autre part, ce Plan de travail 2025 apporte une réponse concrète aux défis du MINEPDED</w:t>
      </w:r>
      <w:r w:rsidRPr="005A7108">
        <w:rPr>
          <w:rStyle w:val="Appelnotedebasdep"/>
          <w:rFonts w:ascii="Times New Roman" w:eastAsia="Times New Roman" w:hAnsi="Times New Roman"/>
          <w:sz w:val="24"/>
          <w:szCs w:val="24"/>
          <w:lang w:eastAsia="fr-FR"/>
        </w:rPr>
        <w:footnoteReference w:id="5"/>
      </w:r>
      <w:r w:rsidRPr="005A7108">
        <w:rPr>
          <w:rFonts w:ascii="Times New Roman" w:eastAsia="Times New Roman" w:hAnsi="Times New Roman"/>
          <w:sz w:val="24"/>
          <w:szCs w:val="24"/>
          <w:lang w:eastAsia="fr-FR"/>
        </w:rPr>
        <w:t xml:space="preserve"> en intégrant les exigences de la Norme ITIE 2023 grâce à un renforcement des politiques environnementales, en vue de contribuer pour la mise en place d’une base de données nationale sur les émissions de GES, en lien avec les standards internationaux (Exigence 6.4).</w:t>
      </w:r>
    </w:p>
    <w:p w14:paraId="421BCD07" w14:textId="6FFA0FD8" w:rsidR="004A2A3C" w:rsidRPr="005A7108" w:rsidRDefault="004A2A3C" w:rsidP="004A2A3C">
      <w:pPr>
        <w:numPr>
          <w:ilvl w:val="0"/>
          <w:numId w:val="10"/>
        </w:numPr>
        <w:spacing w:after="120" w:line="240" w:lineRule="auto"/>
        <w:jc w:val="both"/>
        <w:rPr>
          <w:rFonts w:ascii="Times New Roman" w:eastAsia="Times New Roman" w:hAnsi="Times New Roman"/>
          <w:sz w:val="24"/>
          <w:szCs w:val="24"/>
          <w:lang w:eastAsia="fr-FR"/>
        </w:rPr>
      </w:pPr>
      <w:r w:rsidRPr="005A7108">
        <w:rPr>
          <w:rFonts w:ascii="Times New Roman" w:eastAsia="Times New Roman" w:hAnsi="Times New Roman"/>
          <w:b/>
          <w:bCs/>
          <w:color w:val="00B050"/>
          <w:sz w:val="24"/>
          <w:szCs w:val="24"/>
          <w:lang w:eastAsia="fr-FR"/>
        </w:rPr>
        <w:t xml:space="preserve">Bonne gouvernance et lutte contre la corruption </w:t>
      </w:r>
      <w:r w:rsidRPr="005A7108">
        <w:rPr>
          <w:rFonts w:ascii="Times New Roman" w:eastAsia="Times New Roman" w:hAnsi="Times New Roman"/>
          <w:b/>
          <w:bCs/>
          <w:sz w:val="24"/>
          <w:szCs w:val="24"/>
          <w:lang w:eastAsia="fr-FR"/>
        </w:rPr>
        <w:t>:</w:t>
      </w:r>
      <w:r w:rsidRPr="005A7108">
        <w:rPr>
          <w:rFonts w:ascii="Times New Roman" w:eastAsia="Times New Roman" w:hAnsi="Times New Roman"/>
          <w:sz w:val="24"/>
          <w:szCs w:val="24"/>
          <w:lang w:eastAsia="fr-FR"/>
        </w:rPr>
        <w:t xml:space="preserve"> </w:t>
      </w:r>
      <w:r w:rsidR="0070746B" w:rsidRPr="005A7108">
        <w:rPr>
          <w:rFonts w:ascii="Times New Roman" w:eastAsia="Times New Roman" w:hAnsi="Times New Roman"/>
          <w:sz w:val="24"/>
          <w:szCs w:val="24"/>
          <w:lang w:eastAsia="fr-FR"/>
        </w:rPr>
        <w:t>lutte contre la corruption dans les sociétés nationales d’Etat (cas de l’</w:t>
      </w:r>
      <w:r w:rsidRPr="005A7108">
        <w:rPr>
          <w:rFonts w:ascii="Times New Roman" w:eastAsia="Times New Roman" w:hAnsi="Times New Roman"/>
          <w:sz w:val="24"/>
          <w:szCs w:val="24"/>
          <w:lang w:eastAsia="fr-FR"/>
        </w:rPr>
        <w:t>Affaire GLENCORE</w:t>
      </w:r>
      <w:r w:rsidR="0070746B" w:rsidRPr="005A7108">
        <w:rPr>
          <w:rFonts w:ascii="Times New Roman" w:eastAsia="Times New Roman" w:hAnsi="Times New Roman"/>
          <w:sz w:val="24"/>
          <w:szCs w:val="24"/>
          <w:lang w:eastAsia="fr-FR"/>
        </w:rPr>
        <w:t>)</w:t>
      </w:r>
      <w:r w:rsidRPr="005A7108">
        <w:rPr>
          <w:rFonts w:ascii="Times New Roman" w:eastAsia="Times New Roman" w:hAnsi="Times New Roman"/>
          <w:sz w:val="24"/>
          <w:szCs w:val="24"/>
          <w:lang w:eastAsia="fr-FR"/>
        </w:rPr>
        <w:t>, lutte contre la contrebande d</w:t>
      </w:r>
      <w:r w:rsidR="0070746B" w:rsidRPr="005A7108">
        <w:rPr>
          <w:rFonts w:ascii="Times New Roman" w:eastAsia="Times New Roman" w:hAnsi="Times New Roman"/>
          <w:sz w:val="24"/>
          <w:szCs w:val="24"/>
          <w:lang w:eastAsia="fr-FR"/>
        </w:rPr>
        <w:t>ans le sous-secteur de l’EMAPE de l</w:t>
      </w:r>
      <w:r w:rsidRPr="005A7108">
        <w:rPr>
          <w:rFonts w:ascii="Times New Roman" w:eastAsia="Times New Roman" w:hAnsi="Times New Roman"/>
          <w:sz w:val="24"/>
          <w:szCs w:val="24"/>
          <w:lang w:eastAsia="fr-FR"/>
        </w:rPr>
        <w:t>’or.</w:t>
      </w:r>
    </w:p>
    <w:p w14:paraId="3F9552B8" w14:textId="77777777" w:rsidR="00A911DE" w:rsidRPr="005A7108" w:rsidRDefault="00A911DE" w:rsidP="00A911DE">
      <w:pPr>
        <w:spacing w:before="100" w:beforeAutospacing="1" w:after="100" w:afterAutospacing="1" w:line="240" w:lineRule="auto"/>
        <w:rPr>
          <w:rFonts w:ascii="Times New Roman" w:eastAsia="Times New Roman" w:hAnsi="Times New Roman"/>
          <w:sz w:val="24"/>
          <w:szCs w:val="24"/>
          <w:lang w:eastAsia="fr-FR"/>
        </w:rPr>
      </w:pPr>
      <w:r w:rsidRPr="005A7108">
        <w:rPr>
          <w:rFonts w:ascii="Times New Roman" w:eastAsia="Times New Roman" w:hAnsi="Times New Roman"/>
          <w:b/>
          <w:bCs/>
          <w:sz w:val="24"/>
          <w:szCs w:val="24"/>
          <w:lang w:eastAsia="fr-FR"/>
        </w:rPr>
        <w:t>Dans l’agenda politique :</w:t>
      </w:r>
      <w:r w:rsidRPr="005A7108">
        <w:rPr>
          <w:rFonts w:ascii="Times New Roman" w:eastAsia="Times New Roman" w:hAnsi="Times New Roman"/>
          <w:sz w:val="24"/>
          <w:szCs w:val="24"/>
          <w:lang w:eastAsia="fr-FR"/>
        </w:rPr>
        <w:t xml:space="preserve"> Année électorale avec l’élection présidentielle prévue en octobre 2025.</w:t>
      </w:r>
    </w:p>
    <w:p w14:paraId="5E933A21" w14:textId="07153B6A" w:rsidR="006D51B8" w:rsidRPr="006E116C" w:rsidRDefault="005A7108" w:rsidP="002C574B">
      <w:pPr>
        <w:spacing w:after="0" w:line="240" w:lineRule="auto"/>
        <w:rPr>
          <w:rFonts w:ascii="Times New Roman" w:eastAsia="Times New Roman" w:hAnsi="Times New Roman"/>
          <w:b/>
          <w:bCs/>
          <w:sz w:val="27"/>
          <w:szCs w:val="27"/>
          <w:lang w:eastAsia="fr-FR"/>
        </w:rPr>
      </w:pPr>
      <w:r w:rsidRPr="006E116C">
        <w:rPr>
          <w:rFonts w:ascii="Times New Roman" w:eastAsia="Times New Roman" w:hAnsi="Times New Roman"/>
          <w:b/>
          <w:bCs/>
          <w:sz w:val="27"/>
          <w:szCs w:val="27"/>
          <w:lang w:eastAsia="fr-FR"/>
        </w:rPr>
        <w:t>3</w:t>
      </w:r>
      <w:r w:rsidR="006D51B8" w:rsidRPr="006E116C">
        <w:rPr>
          <w:rFonts w:ascii="Times New Roman" w:eastAsia="Times New Roman" w:hAnsi="Times New Roman"/>
          <w:b/>
          <w:bCs/>
          <w:sz w:val="27"/>
          <w:szCs w:val="27"/>
          <w:lang w:eastAsia="fr-FR"/>
        </w:rPr>
        <w:t>. Mesures correctives prioritaires</w:t>
      </w:r>
    </w:p>
    <w:p w14:paraId="5129E34C" w14:textId="77777777" w:rsidR="00432725" w:rsidRPr="006E116C" w:rsidRDefault="006D51B8" w:rsidP="00432725">
      <w:pPr>
        <w:spacing w:after="0" w:line="240" w:lineRule="auto"/>
        <w:rPr>
          <w:rFonts w:ascii="Times New Roman" w:eastAsia="Times New Roman" w:hAnsi="Times New Roman"/>
          <w:sz w:val="24"/>
          <w:szCs w:val="24"/>
          <w:lang w:eastAsia="fr-FR"/>
        </w:rPr>
      </w:pPr>
      <w:r w:rsidRPr="006E116C">
        <w:rPr>
          <w:rFonts w:ascii="Times New Roman" w:eastAsia="Times New Roman" w:hAnsi="Times New Roman"/>
          <w:sz w:val="24"/>
          <w:szCs w:val="24"/>
          <w:lang w:eastAsia="fr-FR"/>
        </w:rPr>
        <w:t>Conformément aux mesures correctives prescrites par le Conseil d'administration de l’ITIE, le Cameroun doit mettre e</w:t>
      </w:r>
      <w:r w:rsidR="00432725" w:rsidRPr="006E116C">
        <w:rPr>
          <w:rFonts w:ascii="Times New Roman" w:eastAsia="Times New Roman" w:hAnsi="Times New Roman"/>
          <w:sz w:val="24"/>
          <w:szCs w:val="24"/>
          <w:lang w:eastAsia="fr-FR"/>
        </w:rPr>
        <w:t>n œuvre les actions suivantes :</w:t>
      </w:r>
    </w:p>
    <w:p w14:paraId="4F01B63F" w14:textId="46D45652" w:rsidR="00432725" w:rsidRPr="006E116C" w:rsidRDefault="006D51B8" w:rsidP="006A5C20">
      <w:pPr>
        <w:pStyle w:val="Pieddepage"/>
        <w:numPr>
          <w:ilvl w:val="0"/>
          <w:numId w:val="18"/>
        </w:numPr>
        <w:jc w:val="both"/>
        <w:rPr>
          <w:rFonts w:ascii="Times New Roman" w:eastAsia="Times New Roman" w:hAnsi="Times New Roman"/>
          <w:sz w:val="24"/>
          <w:szCs w:val="24"/>
          <w:lang w:eastAsia="fr-FR"/>
        </w:rPr>
      </w:pPr>
      <w:r w:rsidRPr="006E116C">
        <w:rPr>
          <w:rFonts w:ascii="Times New Roman" w:eastAsia="Times New Roman" w:hAnsi="Times New Roman"/>
          <w:b/>
          <w:bCs/>
          <w:sz w:val="24"/>
          <w:szCs w:val="24"/>
          <w:lang w:eastAsia="fr-FR"/>
        </w:rPr>
        <w:t>Renforcement de l’engagement des parties prenantes</w:t>
      </w:r>
      <w:r w:rsidRPr="006E116C">
        <w:rPr>
          <w:rFonts w:ascii="Times New Roman" w:eastAsia="Times New Roman" w:hAnsi="Times New Roman"/>
          <w:sz w:val="24"/>
          <w:szCs w:val="24"/>
          <w:lang w:eastAsia="fr-FR"/>
        </w:rPr>
        <w:t xml:space="preserve"> </w:t>
      </w:r>
      <w:r w:rsidR="00532997" w:rsidRPr="006E116C">
        <w:rPr>
          <w:rFonts w:ascii="Times New Roman" w:eastAsia="Times New Roman" w:hAnsi="Times New Roman"/>
          <w:sz w:val="24"/>
          <w:szCs w:val="24"/>
          <w:lang w:eastAsia="fr-FR"/>
        </w:rPr>
        <w:t>et de l’implication citoyenne</w:t>
      </w:r>
      <w:r w:rsidR="006A5C20" w:rsidRPr="006E116C">
        <w:rPr>
          <w:rFonts w:ascii="Times New Roman" w:eastAsia="Times New Roman" w:hAnsi="Times New Roman"/>
          <w:sz w:val="24"/>
          <w:szCs w:val="24"/>
          <w:lang w:eastAsia="fr-FR"/>
        </w:rPr>
        <w:t xml:space="preserve"> </w:t>
      </w:r>
      <w:r w:rsidRPr="006E116C">
        <w:rPr>
          <w:rFonts w:ascii="Times New Roman" w:eastAsia="Times New Roman" w:hAnsi="Times New Roman"/>
          <w:sz w:val="24"/>
          <w:szCs w:val="24"/>
          <w:lang w:eastAsia="fr-FR"/>
        </w:rPr>
        <w:t xml:space="preserve">: Améliorer la participation effective de la société civile et du secteur privé dans le processus ITIE, en garantissant leur indépendance et leur inclusion dans </w:t>
      </w:r>
      <w:r w:rsidR="006A5C20" w:rsidRPr="006E116C">
        <w:rPr>
          <w:rFonts w:ascii="Times New Roman" w:eastAsia="Times New Roman" w:hAnsi="Times New Roman"/>
          <w:sz w:val="24"/>
          <w:szCs w:val="24"/>
          <w:lang w:eastAsia="fr-FR"/>
        </w:rPr>
        <w:t>tous les aspects de la mise en œuvre</w:t>
      </w:r>
      <w:r w:rsidRPr="006E116C">
        <w:rPr>
          <w:rFonts w:ascii="Times New Roman" w:eastAsia="Times New Roman" w:hAnsi="Times New Roman"/>
          <w:sz w:val="24"/>
          <w:szCs w:val="24"/>
          <w:lang w:eastAsia="fr-FR"/>
        </w:rPr>
        <w:t>.</w:t>
      </w:r>
      <w:r w:rsidR="006A5C20" w:rsidRPr="006E116C">
        <w:rPr>
          <w:rFonts w:ascii="Times New Roman" w:eastAsia="Times New Roman" w:hAnsi="Times New Roman"/>
          <w:sz w:val="24"/>
          <w:szCs w:val="24"/>
          <w:lang w:eastAsia="fr-FR"/>
        </w:rPr>
        <w:t xml:space="preserve"> S’assurer d’une meilleure implication des décideurs afin de justifier</w:t>
      </w:r>
      <w:r w:rsidR="004E467C" w:rsidRPr="006E116C">
        <w:rPr>
          <w:rFonts w:ascii="Times New Roman" w:eastAsia="Times New Roman" w:hAnsi="Times New Roman"/>
          <w:sz w:val="24"/>
          <w:szCs w:val="24"/>
          <w:lang w:eastAsia="fr-FR"/>
        </w:rPr>
        <w:t>, dans un contexte de suspension,</w:t>
      </w:r>
      <w:r w:rsidR="006A5C20" w:rsidRPr="006E116C">
        <w:rPr>
          <w:rFonts w:ascii="Times New Roman" w:eastAsia="Times New Roman" w:hAnsi="Times New Roman"/>
          <w:sz w:val="24"/>
          <w:szCs w:val="24"/>
          <w:lang w:eastAsia="fr-FR"/>
        </w:rPr>
        <w:t xml:space="preserve"> l’engagement de l’Etat dans le suivi de la mise en œuvre. Le renforcement de cet engagement des différentes parties prenantes est d’ailleurs au centre de l’esprit du PTA 2025.</w:t>
      </w:r>
    </w:p>
    <w:p w14:paraId="0FB96E59" w14:textId="77777777" w:rsidR="00432725" w:rsidRPr="006E116C" w:rsidRDefault="006D51B8" w:rsidP="006A5C20">
      <w:pPr>
        <w:pStyle w:val="Pieddepage"/>
        <w:numPr>
          <w:ilvl w:val="0"/>
          <w:numId w:val="18"/>
        </w:numPr>
        <w:jc w:val="both"/>
        <w:rPr>
          <w:rFonts w:ascii="Times New Roman" w:eastAsia="Times New Roman" w:hAnsi="Times New Roman"/>
          <w:sz w:val="24"/>
          <w:szCs w:val="24"/>
          <w:lang w:eastAsia="fr-FR"/>
        </w:rPr>
      </w:pPr>
      <w:r w:rsidRPr="006E116C">
        <w:rPr>
          <w:rFonts w:ascii="Times New Roman" w:eastAsia="Times New Roman" w:hAnsi="Times New Roman"/>
          <w:b/>
          <w:bCs/>
          <w:sz w:val="24"/>
          <w:szCs w:val="24"/>
          <w:lang w:eastAsia="fr-FR"/>
        </w:rPr>
        <w:t>Transparence des bénéficiaires effectifs</w:t>
      </w:r>
      <w:r w:rsidRPr="006E116C">
        <w:rPr>
          <w:rFonts w:ascii="Times New Roman" w:eastAsia="Times New Roman" w:hAnsi="Times New Roman"/>
          <w:sz w:val="24"/>
          <w:szCs w:val="24"/>
          <w:lang w:eastAsia="fr-FR"/>
        </w:rPr>
        <w:t xml:space="preserve"> : Publier de manière exhaustive la liste des bénéficiaires effectifs des entreprises extractives et assurer la mise en conformité avec les exigences ITIE 2023.</w:t>
      </w:r>
    </w:p>
    <w:p w14:paraId="57CB0F8B" w14:textId="77777777" w:rsidR="00432725" w:rsidRPr="006E116C" w:rsidRDefault="006D51B8" w:rsidP="006A5C20">
      <w:pPr>
        <w:pStyle w:val="Pieddepage"/>
        <w:numPr>
          <w:ilvl w:val="0"/>
          <w:numId w:val="18"/>
        </w:numPr>
        <w:jc w:val="both"/>
        <w:rPr>
          <w:rFonts w:ascii="Times New Roman" w:eastAsia="Times New Roman" w:hAnsi="Times New Roman"/>
          <w:sz w:val="24"/>
          <w:szCs w:val="24"/>
          <w:lang w:eastAsia="fr-FR"/>
        </w:rPr>
      </w:pPr>
      <w:r w:rsidRPr="006E116C">
        <w:rPr>
          <w:rFonts w:ascii="Times New Roman" w:eastAsia="Times New Roman" w:hAnsi="Times New Roman"/>
          <w:b/>
          <w:bCs/>
          <w:sz w:val="24"/>
          <w:szCs w:val="24"/>
          <w:lang w:eastAsia="fr-FR"/>
        </w:rPr>
        <w:t>Divulgation des contrats et licences</w:t>
      </w:r>
      <w:r w:rsidRPr="006E116C">
        <w:rPr>
          <w:rFonts w:ascii="Times New Roman" w:eastAsia="Times New Roman" w:hAnsi="Times New Roman"/>
          <w:sz w:val="24"/>
          <w:szCs w:val="24"/>
          <w:lang w:eastAsia="fr-FR"/>
        </w:rPr>
        <w:t xml:space="preserve"> : Rendre publics tous les contrats et licences octroyés depuis 2021, y compris les annexes et clauses financières.</w:t>
      </w:r>
    </w:p>
    <w:p w14:paraId="24201EB7" w14:textId="77777777" w:rsidR="004C29C7" w:rsidRPr="006E116C" w:rsidRDefault="006D51B8" w:rsidP="006A5C20">
      <w:pPr>
        <w:pStyle w:val="Pieddepage"/>
        <w:numPr>
          <w:ilvl w:val="0"/>
          <w:numId w:val="18"/>
        </w:numPr>
        <w:jc w:val="both"/>
        <w:rPr>
          <w:rFonts w:ascii="Times New Roman" w:eastAsia="Times New Roman" w:hAnsi="Times New Roman"/>
          <w:sz w:val="24"/>
          <w:szCs w:val="24"/>
          <w:lang w:eastAsia="fr-FR"/>
        </w:rPr>
      </w:pPr>
      <w:r w:rsidRPr="006E116C">
        <w:rPr>
          <w:rFonts w:ascii="Times New Roman" w:eastAsia="Times New Roman" w:hAnsi="Times New Roman"/>
          <w:b/>
          <w:bCs/>
          <w:sz w:val="24"/>
          <w:szCs w:val="24"/>
          <w:lang w:eastAsia="fr-FR"/>
        </w:rPr>
        <w:t>Suivi des recettes et des transferts infranationaux</w:t>
      </w:r>
      <w:r w:rsidRPr="006E116C">
        <w:rPr>
          <w:rFonts w:ascii="Times New Roman" w:eastAsia="Times New Roman" w:hAnsi="Times New Roman"/>
          <w:sz w:val="24"/>
          <w:szCs w:val="24"/>
          <w:lang w:eastAsia="fr-FR"/>
        </w:rPr>
        <w:t xml:space="preserve"> : Assurer la transparence et la traçabilité des flux financiers liés aux revenus extractifs et aux transferts aux collectivités locales.</w:t>
      </w:r>
    </w:p>
    <w:p w14:paraId="5CB9CD6C" w14:textId="77777777" w:rsidR="004E467C" w:rsidRPr="006E116C" w:rsidRDefault="006D51B8" w:rsidP="003F36D1">
      <w:pPr>
        <w:pStyle w:val="Pieddepage"/>
        <w:numPr>
          <w:ilvl w:val="0"/>
          <w:numId w:val="4"/>
        </w:numPr>
        <w:spacing w:before="100" w:beforeAutospacing="1" w:after="100" w:afterAutospacing="1"/>
        <w:jc w:val="both"/>
        <w:rPr>
          <w:rFonts w:ascii="Times New Roman" w:eastAsia="Times New Roman" w:hAnsi="Times New Roman"/>
          <w:sz w:val="24"/>
          <w:szCs w:val="24"/>
          <w:lang w:eastAsia="fr-FR"/>
        </w:rPr>
      </w:pPr>
      <w:r w:rsidRPr="006E116C">
        <w:rPr>
          <w:rFonts w:ascii="Times New Roman" w:eastAsia="Times New Roman" w:hAnsi="Times New Roman"/>
          <w:b/>
          <w:bCs/>
          <w:sz w:val="24"/>
          <w:szCs w:val="24"/>
          <w:lang w:eastAsia="fr-FR"/>
        </w:rPr>
        <w:lastRenderedPageBreak/>
        <w:t>Renforcement du contrôle des entreprises d’État</w:t>
      </w:r>
      <w:r w:rsidRPr="006E116C">
        <w:rPr>
          <w:rFonts w:ascii="Times New Roman" w:eastAsia="Times New Roman" w:hAnsi="Times New Roman"/>
          <w:sz w:val="24"/>
          <w:szCs w:val="24"/>
          <w:lang w:eastAsia="fr-FR"/>
        </w:rPr>
        <w:t xml:space="preserve"> : Exiger des entreprises extractives sous contrôle étatique des rapports financiers audités et accessibles au public.</w:t>
      </w:r>
    </w:p>
    <w:p w14:paraId="6534BD39" w14:textId="502D4EAC" w:rsidR="006F2D33" w:rsidRPr="006E116C" w:rsidRDefault="006F2D33" w:rsidP="003F36D1">
      <w:pPr>
        <w:pStyle w:val="Pieddepage"/>
        <w:numPr>
          <w:ilvl w:val="0"/>
          <w:numId w:val="4"/>
        </w:numPr>
        <w:spacing w:before="100" w:beforeAutospacing="1" w:after="100" w:afterAutospacing="1"/>
        <w:jc w:val="both"/>
        <w:rPr>
          <w:rFonts w:ascii="Times New Roman" w:eastAsia="Times New Roman" w:hAnsi="Times New Roman"/>
          <w:sz w:val="24"/>
          <w:szCs w:val="24"/>
          <w:lang w:eastAsia="fr-FR"/>
        </w:rPr>
      </w:pPr>
      <w:r w:rsidRPr="006E116C">
        <w:rPr>
          <w:rFonts w:ascii="Times New Roman" w:eastAsia="Times New Roman" w:hAnsi="Times New Roman"/>
          <w:b/>
          <w:bCs/>
          <w:sz w:val="24"/>
          <w:szCs w:val="24"/>
          <w:lang w:eastAsia="fr-FR"/>
        </w:rPr>
        <w:t xml:space="preserve">Renforcement du débat public </w:t>
      </w:r>
      <w:r w:rsidRPr="006E116C">
        <w:rPr>
          <w:rFonts w:ascii="Times New Roman" w:eastAsia="Times New Roman" w:hAnsi="Times New Roman"/>
          <w:bCs/>
          <w:sz w:val="24"/>
          <w:szCs w:val="24"/>
          <w:lang w:eastAsia="fr-FR"/>
        </w:rPr>
        <w:t>par l’utilisation des données ITIE</w:t>
      </w:r>
      <w:r w:rsidR="00C40487" w:rsidRPr="006E116C">
        <w:rPr>
          <w:rFonts w:ascii="Times New Roman" w:eastAsia="Times New Roman" w:hAnsi="Times New Roman"/>
          <w:bCs/>
          <w:sz w:val="24"/>
          <w:szCs w:val="24"/>
          <w:lang w:eastAsia="fr-FR"/>
        </w:rPr>
        <w:t>.</w:t>
      </w:r>
    </w:p>
    <w:p w14:paraId="334C1B55" w14:textId="3108C710" w:rsidR="00861B34" w:rsidRPr="00861B34" w:rsidRDefault="006E116C" w:rsidP="00861B34">
      <w:pPr>
        <w:spacing w:before="100" w:beforeAutospacing="1" w:after="100" w:afterAutospacing="1"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4</w:t>
      </w:r>
      <w:r w:rsidR="007D1B5D" w:rsidRPr="00E856C9">
        <w:rPr>
          <w:rFonts w:ascii="Times New Roman" w:eastAsia="Times New Roman" w:hAnsi="Times New Roman"/>
          <w:b/>
          <w:bCs/>
          <w:sz w:val="27"/>
          <w:szCs w:val="27"/>
          <w:lang w:eastAsia="fr-FR"/>
        </w:rPr>
        <w:t>.</w:t>
      </w:r>
      <w:r w:rsidR="009862B2" w:rsidRPr="00E856C9">
        <w:rPr>
          <w:rFonts w:ascii="Times New Roman" w:eastAsia="Times New Roman" w:hAnsi="Times New Roman"/>
          <w:b/>
          <w:bCs/>
          <w:sz w:val="27"/>
          <w:szCs w:val="27"/>
          <w:lang w:eastAsia="fr-FR"/>
        </w:rPr>
        <w:t xml:space="preserve"> </w:t>
      </w:r>
      <w:r w:rsidR="00861B34" w:rsidRPr="00861B34">
        <w:rPr>
          <w:rFonts w:ascii="Times New Roman" w:eastAsia="Times New Roman" w:hAnsi="Times New Roman"/>
          <w:b/>
          <w:bCs/>
          <w:sz w:val="27"/>
          <w:szCs w:val="27"/>
          <w:lang w:eastAsia="fr-FR"/>
        </w:rPr>
        <w:t>Correspondance</w:t>
      </w:r>
      <w:r w:rsidR="009862B2" w:rsidRPr="00E856C9">
        <w:rPr>
          <w:rFonts w:ascii="Times New Roman" w:eastAsia="Times New Roman" w:hAnsi="Times New Roman"/>
          <w:b/>
          <w:bCs/>
          <w:sz w:val="27"/>
          <w:szCs w:val="27"/>
          <w:lang w:eastAsia="fr-FR"/>
        </w:rPr>
        <w:t xml:space="preserve"> entre Priorités Nationales et mesures c</w:t>
      </w:r>
      <w:r w:rsidR="00861B34" w:rsidRPr="00861B34">
        <w:rPr>
          <w:rFonts w:ascii="Times New Roman" w:eastAsia="Times New Roman" w:hAnsi="Times New Roman"/>
          <w:b/>
          <w:bCs/>
          <w:sz w:val="27"/>
          <w:szCs w:val="27"/>
          <w:lang w:eastAsia="fr-FR"/>
        </w:rPr>
        <w:t>orrectives</w:t>
      </w:r>
      <w:r w:rsidR="00762803" w:rsidRPr="00E856C9">
        <w:rPr>
          <w:rFonts w:ascii="Times New Roman" w:eastAsia="Times New Roman" w:hAnsi="Times New Roman"/>
          <w:b/>
          <w:bCs/>
          <w:sz w:val="27"/>
          <w:szCs w:val="27"/>
          <w:lang w:eastAsia="fr-FR"/>
        </w:rPr>
        <w:t>/Exigences ITIE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7"/>
        <w:gridCol w:w="1946"/>
        <w:gridCol w:w="2853"/>
      </w:tblGrid>
      <w:tr w:rsidR="00861B34" w:rsidRPr="006E116C" w14:paraId="75F97DE3" w14:textId="77777777" w:rsidTr="005F5B73">
        <w:trPr>
          <w:tblHeader/>
          <w:tblCellSpacing w:w="15" w:type="dxa"/>
        </w:trPr>
        <w:tc>
          <w:tcPr>
            <w:tcW w:w="0" w:type="auto"/>
            <w:hideMark/>
          </w:tcPr>
          <w:p w14:paraId="09C16DBD" w14:textId="77777777" w:rsidR="00861B34" w:rsidRPr="006E116C" w:rsidRDefault="00861B34" w:rsidP="00EC3839">
            <w:pPr>
              <w:spacing w:after="0" w:line="240" w:lineRule="auto"/>
              <w:jc w:val="center"/>
              <w:rPr>
                <w:rFonts w:ascii="Times New Roman" w:eastAsia="Times New Roman" w:hAnsi="Times New Roman"/>
                <w:b/>
                <w:bCs/>
                <w:lang w:eastAsia="fr-FR"/>
              </w:rPr>
            </w:pPr>
            <w:r w:rsidRPr="006E116C">
              <w:rPr>
                <w:rFonts w:ascii="Times New Roman" w:eastAsia="Times New Roman" w:hAnsi="Times New Roman"/>
                <w:b/>
                <w:bCs/>
                <w:lang w:eastAsia="fr-FR"/>
              </w:rPr>
              <w:t>Priorités Nationales</w:t>
            </w:r>
          </w:p>
        </w:tc>
        <w:tc>
          <w:tcPr>
            <w:tcW w:w="0" w:type="auto"/>
            <w:hideMark/>
          </w:tcPr>
          <w:p w14:paraId="5C9BA7AD" w14:textId="77777777" w:rsidR="00861B34" w:rsidRPr="006E116C" w:rsidRDefault="00861B34" w:rsidP="00EC3839">
            <w:pPr>
              <w:spacing w:after="0" w:line="240" w:lineRule="auto"/>
              <w:jc w:val="center"/>
              <w:rPr>
                <w:rFonts w:ascii="Times New Roman" w:eastAsia="Times New Roman" w:hAnsi="Times New Roman"/>
                <w:b/>
                <w:bCs/>
                <w:lang w:eastAsia="fr-FR"/>
              </w:rPr>
            </w:pPr>
            <w:r w:rsidRPr="006E116C">
              <w:rPr>
                <w:rFonts w:ascii="Times New Roman" w:eastAsia="Times New Roman" w:hAnsi="Times New Roman"/>
                <w:b/>
                <w:bCs/>
                <w:lang w:eastAsia="fr-FR"/>
              </w:rPr>
              <w:t>Mesures Correctives Correspondantes</w:t>
            </w:r>
          </w:p>
        </w:tc>
        <w:tc>
          <w:tcPr>
            <w:tcW w:w="0" w:type="auto"/>
            <w:hideMark/>
          </w:tcPr>
          <w:p w14:paraId="5A7C84A4" w14:textId="77777777" w:rsidR="00861B34" w:rsidRPr="006E116C" w:rsidRDefault="00762803" w:rsidP="00EC3839">
            <w:pPr>
              <w:spacing w:after="0" w:line="240" w:lineRule="auto"/>
              <w:jc w:val="center"/>
              <w:rPr>
                <w:rFonts w:ascii="Times New Roman" w:eastAsia="Times New Roman" w:hAnsi="Times New Roman"/>
                <w:b/>
                <w:bCs/>
                <w:lang w:eastAsia="fr-FR"/>
              </w:rPr>
            </w:pPr>
            <w:r w:rsidRPr="006E116C">
              <w:rPr>
                <w:rFonts w:ascii="Times New Roman" w:eastAsia="Times New Roman" w:hAnsi="Times New Roman"/>
                <w:b/>
                <w:bCs/>
                <w:lang w:eastAsia="fr-FR"/>
              </w:rPr>
              <w:t>Observations sur l'u</w:t>
            </w:r>
            <w:r w:rsidR="00861B34" w:rsidRPr="006E116C">
              <w:rPr>
                <w:rFonts w:ascii="Times New Roman" w:eastAsia="Times New Roman" w:hAnsi="Times New Roman"/>
                <w:b/>
                <w:bCs/>
                <w:lang w:eastAsia="fr-FR"/>
              </w:rPr>
              <w:t>tilisation de l'ITIE</w:t>
            </w:r>
          </w:p>
        </w:tc>
      </w:tr>
      <w:tr w:rsidR="00861B34" w:rsidRPr="006E116C" w14:paraId="3F9A2348" w14:textId="77777777" w:rsidTr="005F5B73">
        <w:trPr>
          <w:tblCellSpacing w:w="15" w:type="dxa"/>
        </w:trPr>
        <w:tc>
          <w:tcPr>
            <w:tcW w:w="0" w:type="auto"/>
            <w:hideMark/>
          </w:tcPr>
          <w:p w14:paraId="7F5F6665" w14:textId="5A3542E2" w:rsidR="00861B34" w:rsidRPr="006E116C" w:rsidRDefault="00861B34" w:rsidP="00C40487">
            <w:pPr>
              <w:spacing w:after="0" w:line="240" w:lineRule="auto"/>
              <w:rPr>
                <w:rFonts w:ascii="Times New Roman" w:eastAsia="Times New Roman" w:hAnsi="Times New Roman"/>
                <w:lang w:eastAsia="fr-FR"/>
              </w:rPr>
            </w:pPr>
            <w:r w:rsidRPr="006E116C">
              <w:rPr>
                <w:rFonts w:ascii="Times New Roman" w:eastAsia="Times New Roman" w:hAnsi="Times New Roman"/>
                <w:b/>
                <w:bCs/>
                <w:lang w:eastAsia="fr-FR"/>
              </w:rPr>
              <w:t>Secteur minier</w:t>
            </w:r>
            <w:r w:rsidRPr="006E116C">
              <w:rPr>
                <w:rFonts w:ascii="Times New Roman" w:eastAsia="Times New Roman" w:hAnsi="Times New Roman"/>
                <w:lang w:eastAsia="fr-FR"/>
              </w:rPr>
              <w:t xml:space="preserve"> : Renforcement des projets miniers en cours, lancement du projet industriel d’exploitation de la bauxite de Mini Martap, restructuration de l’exploitation artisanale semi-mécanisée de l’or pour renforcer les réserves d’or de l’État.</w:t>
            </w:r>
            <w:r w:rsidR="00C40487" w:rsidRPr="006E116C">
              <w:rPr>
                <w:rFonts w:ascii="Times New Roman" w:eastAsia="Times New Roman" w:hAnsi="Times New Roman"/>
                <w:lang w:eastAsia="fr-FR"/>
              </w:rPr>
              <w:t xml:space="preserve"> Renforcement des capacités techniques et financières de la SONAMINES.</w:t>
            </w:r>
          </w:p>
          <w:p w14:paraId="09E8377E" w14:textId="77777777" w:rsidR="00A74419" w:rsidRPr="006E116C" w:rsidRDefault="00A74419" w:rsidP="00A74419">
            <w:pPr>
              <w:spacing w:after="0" w:line="240" w:lineRule="auto"/>
              <w:rPr>
                <w:rFonts w:ascii="Times New Roman" w:eastAsia="Times New Roman" w:hAnsi="Times New Roman"/>
                <w:lang w:eastAsia="fr-FR"/>
              </w:rPr>
            </w:pPr>
            <w:r w:rsidRPr="006E116C">
              <w:rPr>
                <w:rFonts w:ascii="Times New Roman" w:eastAsia="Times New Roman" w:hAnsi="Times New Roman"/>
                <w:lang w:eastAsia="fr-FR"/>
              </w:rPr>
              <w:t xml:space="preserve">Internalisation du nouveau Code minier et de ses </w:t>
            </w:r>
            <w:r w:rsidR="003D6EF7" w:rsidRPr="006E116C">
              <w:rPr>
                <w:rFonts w:ascii="Times New Roman" w:eastAsia="Times New Roman" w:hAnsi="Times New Roman"/>
                <w:lang w:eastAsia="fr-FR"/>
              </w:rPr>
              <w:t xml:space="preserve">huit </w:t>
            </w:r>
            <w:r w:rsidRPr="006E116C">
              <w:rPr>
                <w:rFonts w:ascii="Times New Roman" w:eastAsia="Times New Roman" w:hAnsi="Times New Roman"/>
                <w:lang w:eastAsia="fr-FR"/>
              </w:rPr>
              <w:t xml:space="preserve">textes d’application </w:t>
            </w:r>
            <w:r w:rsidR="00036558" w:rsidRPr="006E116C">
              <w:rPr>
                <w:rFonts w:ascii="Times New Roman" w:eastAsia="Times New Roman" w:hAnsi="Times New Roman"/>
                <w:lang w:eastAsia="fr-FR"/>
              </w:rPr>
              <w:t>notamment :</w:t>
            </w:r>
          </w:p>
          <w:p w14:paraId="2CA5878F" w14:textId="77777777" w:rsidR="000A249E" w:rsidRPr="006E116C" w:rsidRDefault="000A249E" w:rsidP="00840ACC">
            <w:pPr>
              <w:pStyle w:val="Pieddepage"/>
              <w:numPr>
                <w:ilvl w:val="0"/>
                <w:numId w:val="17"/>
              </w:numPr>
              <w:jc w:val="both"/>
              <w:rPr>
                <w:rFonts w:ascii="Times New Roman" w:eastAsia="Times New Roman" w:hAnsi="Times New Roman"/>
                <w:lang w:eastAsia="fr-FR"/>
              </w:rPr>
            </w:pPr>
            <w:r w:rsidRPr="006E116C">
              <w:rPr>
                <w:rFonts w:ascii="Times New Roman" w:eastAsia="Times New Roman" w:hAnsi="Times New Roman"/>
                <w:lang w:eastAsia="fr-FR"/>
              </w:rPr>
              <w:t>décret</w:t>
            </w:r>
            <w:r w:rsidR="004B2D31" w:rsidRPr="006E116C">
              <w:rPr>
                <w:rFonts w:ascii="Times New Roman" w:eastAsia="Times New Roman" w:hAnsi="Times New Roman"/>
                <w:lang w:eastAsia="fr-FR"/>
              </w:rPr>
              <w:t xml:space="preserve"> PM</w:t>
            </w:r>
            <w:r w:rsidR="00036558" w:rsidRPr="006E116C">
              <w:rPr>
                <w:rFonts w:ascii="Times New Roman" w:eastAsia="Times New Roman" w:hAnsi="Times New Roman"/>
                <w:lang w:eastAsia="fr-FR"/>
              </w:rPr>
              <w:t xml:space="preserve"> du 14 novembre 2024 fixant les modalités d’exercice des opérations minières ;</w:t>
            </w:r>
          </w:p>
          <w:p w14:paraId="654E47EC" w14:textId="77777777" w:rsidR="000A249E" w:rsidRPr="006E116C" w:rsidRDefault="000A249E" w:rsidP="00840ACC">
            <w:pPr>
              <w:pStyle w:val="Pieddepage"/>
              <w:numPr>
                <w:ilvl w:val="0"/>
                <w:numId w:val="17"/>
              </w:numPr>
              <w:jc w:val="both"/>
              <w:rPr>
                <w:rFonts w:ascii="Times New Roman" w:eastAsia="Times New Roman" w:hAnsi="Times New Roman"/>
                <w:lang w:eastAsia="fr-FR"/>
              </w:rPr>
            </w:pPr>
            <w:r w:rsidRPr="006E116C">
              <w:rPr>
                <w:rFonts w:ascii="Times New Roman" w:eastAsia="Times New Roman" w:hAnsi="Times New Roman"/>
                <w:lang w:eastAsia="fr-FR"/>
              </w:rPr>
              <w:t>décret</w:t>
            </w:r>
            <w:r w:rsidR="004B2D31" w:rsidRPr="006E116C">
              <w:rPr>
                <w:rFonts w:ascii="Times New Roman" w:eastAsia="Times New Roman" w:hAnsi="Times New Roman"/>
                <w:lang w:eastAsia="fr-FR"/>
              </w:rPr>
              <w:t xml:space="preserve"> PM du 19 novembre fixant les modalités d’</w:t>
            </w:r>
            <w:r w:rsidRPr="006E116C">
              <w:rPr>
                <w:rFonts w:ascii="Times New Roman" w:eastAsia="Times New Roman" w:hAnsi="Times New Roman"/>
                <w:lang w:eastAsia="fr-FR"/>
              </w:rPr>
              <w:t>établissement</w:t>
            </w:r>
            <w:r w:rsidR="004B2D31" w:rsidRPr="006E116C">
              <w:rPr>
                <w:rFonts w:ascii="Times New Roman" w:eastAsia="Times New Roman" w:hAnsi="Times New Roman"/>
                <w:lang w:eastAsia="fr-FR"/>
              </w:rPr>
              <w:t xml:space="preserve"> des zones de protection et d’exclusion</w:t>
            </w:r>
            <w:r w:rsidRPr="006E116C">
              <w:rPr>
                <w:rFonts w:ascii="Times New Roman" w:eastAsia="Times New Roman" w:hAnsi="Times New Roman"/>
                <w:lang w:eastAsia="fr-FR"/>
              </w:rPr>
              <w:t xml:space="preserve"> des terrains et des substances minérales des activités minières ;</w:t>
            </w:r>
          </w:p>
          <w:p w14:paraId="072A13D0" w14:textId="77777777" w:rsidR="000A249E" w:rsidRPr="006E116C" w:rsidRDefault="000A249E" w:rsidP="00840ACC">
            <w:pPr>
              <w:pStyle w:val="Pieddepage"/>
              <w:numPr>
                <w:ilvl w:val="0"/>
                <w:numId w:val="17"/>
              </w:numPr>
              <w:jc w:val="both"/>
              <w:rPr>
                <w:rFonts w:ascii="Times New Roman" w:eastAsia="Times New Roman" w:hAnsi="Times New Roman"/>
                <w:lang w:eastAsia="fr-FR"/>
              </w:rPr>
            </w:pPr>
            <w:r w:rsidRPr="006E116C">
              <w:rPr>
                <w:rFonts w:ascii="Times New Roman" w:eastAsia="Times New Roman" w:hAnsi="Times New Roman"/>
                <w:lang w:eastAsia="fr-FR"/>
              </w:rPr>
              <w:t xml:space="preserve">décret PM du </w:t>
            </w:r>
            <w:r w:rsidR="00840ACC" w:rsidRPr="006E116C">
              <w:rPr>
                <w:rFonts w:ascii="Times New Roman" w:eastAsia="Times New Roman" w:hAnsi="Times New Roman"/>
                <w:lang w:eastAsia="fr-FR"/>
              </w:rPr>
              <w:t xml:space="preserve">19 novembre 2024 fixant les conditions et les modalités d’exercice des activités de fusion, d’affinage, et de fabrication des ouvrages en substances précieuses et </w:t>
            </w:r>
            <w:r w:rsidR="00A838A4" w:rsidRPr="006E116C">
              <w:rPr>
                <w:rFonts w:ascii="Times New Roman" w:eastAsia="Times New Roman" w:hAnsi="Times New Roman"/>
                <w:lang w:eastAsia="fr-FR"/>
              </w:rPr>
              <w:t>semi-précieuses</w:t>
            </w:r>
            <w:r w:rsidR="00B2278B" w:rsidRPr="006E116C">
              <w:rPr>
                <w:rFonts w:ascii="Times New Roman" w:eastAsia="Times New Roman" w:hAnsi="Times New Roman"/>
                <w:lang w:eastAsia="fr-FR"/>
              </w:rPr>
              <w:t> ;</w:t>
            </w:r>
          </w:p>
          <w:p w14:paraId="7446B554" w14:textId="77777777" w:rsidR="00840ACC" w:rsidRPr="006E116C" w:rsidRDefault="00B2278B" w:rsidP="007864F5">
            <w:pPr>
              <w:pStyle w:val="Pieddepage"/>
              <w:numPr>
                <w:ilvl w:val="0"/>
                <w:numId w:val="17"/>
              </w:numPr>
              <w:jc w:val="both"/>
              <w:rPr>
                <w:rFonts w:ascii="Times New Roman" w:eastAsia="Times New Roman" w:hAnsi="Times New Roman"/>
                <w:lang w:eastAsia="fr-FR"/>
              </w:rPr>
            </w:pPr>
            <w:r w:rsidRPr="006E116C">
              <w:rPr>
                <w:rFonts w:ascii="Times New Roman" w:eastAsia="Times New Roman" w:hAnsi="Times New Roman"/>
                <w:lang w:eastAsia="fr-FR"/>
              </w:rPr>
              <w:t xml:space="preserve">décret PM du 19 novembre 2024 fixant les modalités </w:t>
            </w:r>
            <w:r w:rsidR="00A838A4" w:rsidRPr="006E116C">
              <w:rPr>
                <w:rFonts w:ascii="Times New Roman" w:eastAsia="Times New Roman" w:hAnsi="Times New Roman"/>
                <w:lang w:eastAsia="fr-FR"/>
              </w:rPr>
              <w:t xml:space="preserve">de détention, de commercialisation, d’exportation et de transit des substances </w:t>
            </w:r>
            <w:r w:rsidR="007864F5" w:rsidRPr="006E116C">
              <w:rPr>
                <w:rFonts w:ascii="Times New Roman" w:eastAsia="Times New Roman" w:hAnsi="Times New Roman"/>
                <w:lang w:eastAsia="fr-FR"/>
              </w:rPr>
              <w:t>minérales ;</w:t>
            </w:r>
          </w:p>
          <w:p w14:paraId="57A73C25" w14:textId="77777777" w:rsidR="00A838A4" w:rsidRPr="006E116C" w:rsidRDefault="007864F5" w:rsidP="007864F5">
            <w:pPr>
              <w:pStyle w:val="Pieddepage"/>
              <w:numPr>
                <w:ilvl w:val="0"/>
                <w:numId w:val="17"/>
              </w:numPr>
              <w:rPr>
                <w:rFonts w:ascii="Times New Roman" w:eastAsia="Times New Roman" w:hAnsi="Times New Roman"/>
                <w:lang w:eastAsia="fr-FR"/>
              </w:rPr>
            </w:pPr>
            <w:r w:rsidRPr="006E116C">
              <w:rPr>
                <w:rFonts w:ascii="Times New Roman" w:eastAsia="Times New Roman" w:hAnsi="Times New Roman"/>
                <w:lang w:eastAsia="fr-FR"/>
              </w:rPr>
              <w:t xml:space="preserve">décret PM du 19 novembre 2024 fixant les modalités d’exploitation des eaux de sources, des eaux thermales, </w:t>
            </w:r>
            <w:r w:rsidR="00C53E26" w:rsidRPr="006E116C">
              <w:rPr>
                <w:rFonts w:ascii="Times New Roman" w:eastAsia="Times New Roman" w:hAnsi="Times New Roman"/>
                <w:lang w:eastAsia="fr-FR"/>
              </w:rPr>
              <w:t>des gites géothermiques</w:t>
            </w:r>
            <w:r w:rsidR="008E7016" w:rsidRPr="006E116C">
              <w:rPr>
                <w:rFonts w:ascii="Times New Roman" w:eastAsia="Times New Roman" w:hAnsi="Times New Roman"/>
                <w:lang w:eastAsia="fr-FR"/>
              </w:rPr>
              <w:t> ;</w:t>
            </w:r>
          </w:p>
          <w:p w14:paraId="45BB2F2F" w14:textId="77777777" w:rsidR="008E7016" w:rsidRPr="006E116C" w:rsidRDefault="008E7016" w:rsidP="00C53E26">
            <w:pPr>
              <w:pStyle w:val="Pieddepage"/>
              <w:numPr>
                <w:ilvl w:val="0"/>
                <w:numId w:val="17"/>
              </w:numPr>
              <w:rPr>
                <w:rFonts w:ascii="Times New Roman" w:eastAsia="Times New Roman" w:hAnsi="Times New Roman"/>
                <w:lang w:eastAsia="fr-FR"/>
              </w:rPr>
            </w:pPr>
            <w:r w:rsidRPr="006E116C">
              <w:rPr>
                <w:rFonts w:ascii="Times New Roman" w:eastAsia="Times New Roman" w:hAnsi="Times New Roman"/>
                <w:lang w:eastAsia="fr-FR"/>
              </w:rPr>
              <w:t>dé</w:t>
            </w:r>
            <w:r w:rsidR="00C53E26" w:rsidRPr="006E116C">
              <w:rPr>
                <w:rFonts w:ascii="Times New Roman" w:eastAsia="Times New Roman" w:hAnsi="Times New Roman"/>
                <w:lang w:eastAsia="fr-FR"/>
              </w:rPr>
              <w:t>cret PM du 19 novembre 2024 précisan</w:t>
            </w:r>
            <w:r w:rsidRPr="006E116C">
              <w:rPr>
                <w:rFonts w:ascii="Times New Roman" w:eastAsia="Times New Roman" w:hAnsi="Times New Roman"/>
                <w:lang w:eastAsia="fr-FR"/>
              </w:rPr>
              <w:t>t les</w:t>
            </w:r>
            <w:r w:rsidR="00C53E26" w:rsidRPr="006E116C">
              <w:rPr>
                <w:rFonts w:ascii="Times New Roman" w:eastAsia="Times New Roman" w:hAnsi="Times New Roman"/>
                <w:lang w:eastAsia="fr-FR"/>
              </w:rPr>
              <w:t xml:space="preserve"> modalités d’exploitation des substances de carrière ;</w:t>
            </w:r>
          </w:p>
          <w:p w14:paraId="390DEC73" w14:textId="77777777" w:rsidR="00C53E26" w:rsidRPr="006E116C" w:rsidRDefault="00677C56" w:rsidP="00677C56">
            <w:pPr>
              <w:pStyle w:val="Pieddepage"/>
              <w:numPr>
                <w:ilvl w:val="0"/>
                <w:numId w:val="17"/>
              </w:numPr>
              <w:rPr>
                <w:rFonts w:ascii="Times New Roman" w:eastAsia="Times New Roman" w:hAnsi="Times New Roman"/>
                <w:lang w:eastAsia="fr-FR"/>
              </w:rPr>
            </w:pPr>
            <w:r w:rsidRPr="006E116C">
              <w:rPr>
                <w:rFonts w:ascii="Times New Roman" w:eastAsia="Times New Roman" w:hAnsi="Times New Roman"/>
                <w:lang w:eastAsia="fr-FR"/>
              </w:rPr>
              <w:t>décret PM du 19 novembre 2024 précisant</w:t>
            </w:r>
            <w:r w:rsidR="000C53A0" w:rsidRPr="006E116C">
              <w:rPr>
                <w:rFonts w:ascii="Times New Roman" w:eastAsia="Times New Roman" w:hAnsi="Times New Roman"/>
                <w:lang w:eastAsia="fr-FR"/>
              </w:rPr>
              <w:t xml:space="preserve"> certaines obligations attachées à </w:t>
            </w:r>
            <w:r w:rsidR="000C53A0" w:rsidRPr="006E116C">
              <w:rPr>
                <w:rFonts w:ascii="Times New Roman" w:eastAsia="Times New Roman" w:hAnsi="Times New Roman"/>
                <w:lang w:eastAsia="fr-FR"/>
              </w:rPr>
              <w:lastRenderedPageBreak/>
              <w:t>l’exercice des droits miniers et de carrières</w:t>
            </w:r>
          </w:p>
          <w:p w14:paraId="6634D177" w14:textId="77777777" w:rsidR="000C53A0" w:rsidRPr="006E116C" w:rsidRDefault="000C53A0" w:rsidP="000C53A0">
            <w:pPr>
              <w:pStyle w:val="Pieddepage"/>
              <w:numPr>
                <w:ilvl w:val="0"/>
                <w:numId w:val="17"/>
              </w:numPr>
              <w:rPr>
                <w:rFonts w:ascii="Times New Roman" w:eastAsia="Times New Roman" w:hAnsi="Times New Roman"/>
                <w:lang w:eastAsia="fr-FR"/>
              </w:rPr>
            </w:pPr>
            <w:r w:rsidRPr="006E116C">
              <w:rPr>
                <w:rFonts w:ascii="Times New Roman" w:eastAsia="Times New Roman" w:hAnsi="Times New Roman"/>
                <w:lang w:eastAsia="fr-FR"/>
              </w:rPr>
              <w:t>décr</w:t>
            </w:r>
            <w:r w:rsidR="00906EE2" w:rsidRPr="006E116C">
              <w:rPr>
                <w:rFonts w:ascii="Times New Roman" w:eastAsia="Times New Roman" w:hAnsi="Times New Roman"/>
                <w:lang w:eastAsia="fr-FR"/>
              </w:rPr>
              <w:t>et PM du 18 novembre 2024 fix</w:t>
            </w:r>
            <w:r w:rsidRPr="006E116C">
              <w:rPr>
                <w:rFonts w:ascii="Times New Roman" w:eastAsia="Times New Roman" w:hAnsi="Times New Roman"/>
                <w:lang w:eastAsia="fr-FR"/>
              </w:rPr>
              <w:t>ant</w:t>
            </w:r>
            <w:r w:rsidR="00906EE2" w:rsidRPr="006E116C">
              <w:rPr>
                <w:rFonts w:ascii="Times New Roman" w:eastAsia="Times New Roman" w:hAnsi="Times New Roman"/>
                <w:lang w:eastAsia="fr-FR"/>
              </w:rPr>
              <w:t xml:space="preserve"> les modalités de délivrances des titres miniers, permis et autorisations</w:t>
            </w:r>
          </w:p>
        </w:tc>
        <w:tc>
          <w:tcPr>
            <w:tcW w:w="0" w:type="auto"/>
            <w:hideMark/>
          </w:tcPr>
          <w:p w14:paraId="4CE70758" w14:textId="77777777" w:rsidR="00861B34" w:rsidRPr="006E116C" w:rsidRDefault="00861B34" w:rsidP="00C40487">
            <w:pPr>
              <w:spacing w:after="0" w:line="240" w:lineRule="auto"/>
              <w:rPr>
                <w:rFonts w:ascii="Times New Roman" w:eastAsia="Times New Roman" w:hAnsi="Times New Roman"/>
                <w:lang w:eastAsia="fr-FR"/>
              </w:rPr>
            </w:pPr>
            <w:r w:rsidRPr="006E116C">
              <w:rPr>
                <w:rFonts w:ascii="Times New Roman" w:eastAsia="Times New Roman" w:hAnsi="Times New Roman"/>
                <w:lang w:eastAsia="fr-FR"/>
              </w:rPr>
              <w:lastRenderedPageBreak/>
              <w:t>- Transparence des bénéficiaires effectifs</w:t>
            </w:r>
            <w:r w:rsidRPr="006E116C">
              <w:rPr>
                <w:rFonts w:ascii="Times New Roman" w:eastAsia="Times New Roman" w:hAnsi="Times New Roman"/>
                <w:lang w:eastAsia="fr-FR"/>
              </w:rPr>
              <w:br/>
              <w:t>- Divulgation des contrats et licences</w:t>
            </w:r>
            <w:r w:rsidRPr="006E116C">
              <w:rPr>
                <w:rFonts w:ascii="Times New Roman" w:eastAsia="Times New Roman" w:hAnsi="Times New Roman"/>
                <w:lang w:eastAsia="fr-FR"/>
              </w:rPr>
              <w:br/>
              <w:t>- Renforcement du contrôle des entreprises d’État</w:t>
            </w:r>
          </w:p>
          <w:p w14:paraId="1354AC55" w14:textId="0250F1E6" w:rsidR="00C40487" w:rsidRPr="006E116C" w:rsidRDefault="00C40487" w:rsidP="00C40487">
            <w:pPr>
              <w:spacing w:after="0" w:line="240" w:lineRule="auto"/>
              <w:rPr>
                <w:rFonts w:ascii="Times New Roman" w:eastAsia="Times New Roman" w:hAnsi="Times New Roman"/>
                <w:lang w:eastAsia="fr-FR"/>
              </w:rPr>
            </w:pPr>
            <w:r w:rsidRPr="006E116C">
              <w:rPr>
                <w:rFonts w:ascii="Times New Roman" w:eastAsia="Times New Roman" w:hAnsi="Times New Roman"/>
                <w:lang w:eastAsia="fr-FR"/>
              </w:rPr>
              <w:t>- Cadre légal et régime fiscal</w:t>
            </w:r>
          </w:p>
        </w:tc>
        <w:tc>
          <w:tcPr>
            <w:tcW w:w="0" w:type="auto"/>
            <w:hideMark/>
          </w:tcPr>
          <w:p w14:paraId="3263F426" w14:textId="77777777" w:rsidR="00861B34" w:rsidRPr="006E116C" w:rsidRDefault="00861B34" w:rsidP="00C40487">
            <w:pPr>
              <w:spacing w:after="0" w:line="240" w:lineRule="auto"/>
              <w:rPr>
                <w:rFonts w:ascii="Times New Roman" w:eastAsia="Times New Roman" w:hAnsi="Times New Roman"/>
                <w:lang w:eastAsia="fr-FR"/>
              </w:rPr>
            </w:pPr>
            <w:r w:rsidRPr="006E116C">
              <w:rPr>
                <w:rFonts w:ascii="Times New Roman" w:eastAsia="Times New Roman" w:hAnsi="Times New Roman"/>
                <w:lang w:eastAsia="fr-FR"/>
              </w:rPr>
              <w:t>L'ITIE peut aider à assurer la transparence des contrats miniers et à identifier les bénéficiaires effectifs pour éviter la corruption et les conflits d’intérêts dans l’exploitation des ressources.</w:t>
            </w:r>
          </w:p>
        </w:tc>
      </w:tr>
      <w:tr w:rsidR="00861B34" w:rsidRPr="006E116C" w14:paraId="0FD5C786" w14:textId="77777777" w:rsidTr="005F5B73">
        <w:trPr>
          <w:tblCellSpacing w:w="15" w:type="dxa"/>
        </w:trPr>
        <w:tc>
          <w:tcPr>
            <w:tcW w:w="0" w:type="auto"/>
            <w:hideMark/>
          </w:tcPr>
          <w:p w14:paraId="174853F4" w14:textId="77777777" w:rsidR="00861B34" w:rsidRPr="006E116C" w:rsidRDefault="00861B34" w:rsidP="00471A51">
            <w:pPr>
              <w:spacing w:after="0" w:line="240" w:lineRule="auto"/>
              <w:rPr>
                <w:rFonts w:ascii="Times New Roman" w:eastAsia="Times New Roman" w:hAnsi="Times New Roman"/>
                <w:lang w:eastAsia="fr-FR"/>
              </w:rPr>
            </w:pPr>
            <w:r w:rsidRPr="006E116C">
              <w:rPr>
                <w:rFonts w:ascii="Times New Roman" w:eastAsia="Times New Roman" w:hAnsi="Times New Roman"/>
                <w:b/>
                <w:bCs/>
                <w:lang w:eastAsia="fr-FR"/>
              </w:rPr>
              <w:t>Secteur pétrolier et gazier</w:t>
            </w:r>
            <w:r w:rsidRPr="006E116C">
              <w:rPr>
                <w:rFonts w:ascii="Times New Roman" w:eastAsia="Times New Roman" w:hAnsi="Times New Roman"/>
                <w:lang w:eastAsia="fr-FR"/>
              </w:rPr>
              <w:t xml:space="preserve"> : Valorisation du potentiel pétrolier et gazier, accroissement des réserves, augmentation et maintien de la production.</w:t>
            </w:r>
          </w:p>
        </w:tc>
        <w:tc>
          <w:tcPr>
            <w:tcW w:w="0" w:type="auto"/>
            <w:hideMark/>
          </w:tcPr>
          <w:p w14:paraId="4CC98677" w14:textId="77777777" w:rsidR="00861B34" w:rsidRPr="006E116C" w:rsidRDefault="00861B34" w:rsidP="00471A51">
            <w:pPr>
              <w:spacing w:after="0" w:line="240" w:lineRule="auto"/>
              <w:rPr>
                <w:rFonts w:ascii="Times New Roman" w:eastAsia="Times New Roman" w:hAnsi="Times New Roman"/>
                <w:lang w:eastAsia="fr-FR"/>
              </w:rPr>
            </w:pPr>
            <w:r w:rsidRPr="006E116C">
              <w:rPr>
                <w:rFonts w:ascii="Times New Roman" w:eastAsia="Times New Roman" w:hAnsi="Times New Roman"/>
                <w:lang w:eastAsia="fr-FR"/>
              </w:rPr>
              <w:t>- Suivi des recettes et des transferts infranationaux</w:t>
            </w:r>
            <w:r w:rsidRPr="006E116C">
              <w:rPr>
                <w:rFonts w:ascii="Times New Roman" w:eastAsia="Times New Roman" w:hAnsi="Times New Roman"/>
                <w:lang w:eastAsia="fr-FR"/>
              </w:rPr>
              <w:br/>
              <w:t>- Rapatriement des fonds de restauration des sites</w:t>
            </w:r>
          </w:p>
        </w:tc>
        <w:tc>
          <w:tcPr>
            <w:tcW w:w="0" w:type="auto"/>
            <w:hideMark/>
          </w:tcPr>
          <w:p w14:paraId="6A38605D" w14:textId="77777777" w:rsidR="00861B34" w:rsidRPr="006E116C" w:rsidRDefault="00861B34" w:rsidP="00471A51">
            <w:pPr>
              <w:spacing w:after="0" w:line="240" w:lineRule="auto"/>
              <w:rPr>
                <w:rFonts w:ascii="Times New Roman" w:eastAsia="Times New Roman" w:hAnsi="Times New Roman"/>
                <w:lang w:eastAsia="fr-FR"/>
              </w:rPr>
            </w:pPr>
            <w:r w:rsidRPr="006E116C">
              <w:rPr>
                <w:rFonts w:ascii="Times New Roman" w:eastAsia="Times New Roman" w:hAnsi="Times New Roman"/>
                <w:lang w:eastAsia="fr-FR"/>
              </w:rPr>
              <w:t>L'ITIE permet de tracer les flux financiers issus des hydrocarbures pour s’assurer qu’ils bénéficient réellement à l’économie nationale et à la restauration des sites d’exploitation.</w:t>
            </w:r>
          </w:p>
        </w:tc>
      </w:tr>
      <w:tr w:rsidR="00861B34" w:rsidRPr="006E116C" w14:paraId="5DB2D68D" w14:textId="77777777" w:rsidTr="005F5B73">
        <w:trPr>
          <w:tblCellSpacing w:w="15" w:type="dxa"/>
        </w:trPr>
        <w:tc>
          <w:tcPr>
            <w:tcW w:w="0" w:type="auto"/>
            <w:hideMark/>
          </w:tcPr>
          <w:p w14:paraId="17541D33" w14:textId="77777777" w:rsidR="00861B34" w:rsidRPr="006E116C" w:rsidRDefault="00861B34" w:rsidP="00471A51">
            <w:pPr>
              <w:spacing w:after="0" w:line="240" w:lineRule="auto"/>
              <w:rPr>
                <w:rFonts w:ascii="Times New Roman" w:eastAsia="Times New Roman" w:hAnsi="Times New Roman"/>
                <w:lang w:eastAsia="fr-FR"/>
              </w:rPr>
            </w:pPr>
            <w:r w:rsidRPr="006E116C">
              <w:rPr>
                <w:rFonts w:ascii="Times New Roman" w:eastAsia="Times New Roman" w:hAnsi="Times New Roman"/>
                <w:b/>
                <w:bCs/>
                <w:lang w:eastAsia="fr-FR"/>
              </w:rPr>
              <w:t>Finances publiques</w:t>
            </w:r>
            <w:r w:rsidRPr="006E116C">
              <w:rPr>
                <w:rFonts w:ascii="Times New Roman" w:eastAsia="Times New Roman" w:hAnsi="Times New Roman"/>
                <w:lang w:eastAsia="fr-FR"/>
              </w:rPr>
              <w:t xml:space="preserve"> : Augmentation des ressources de l’É</w:t>
            </w:r>
            <w:r w:rsidR="0000503D" w:rsidRPr="006E116C">
              <w:rPr>
                <w:rFonts w:ascii="Times New Roman" w:eastAsia="Times New Roman" w:hAnsi="Times New Roman"/>
                <w:lang w:eastAsia="fr-FR"/>
              </w:rPr>
              <w:t>tat à travers la réforme de la fiscalité locale</w:t>
            </w:r>
            <w:r w:rsidRPr="006E116C">
              <w:rPr>
                <w:rFonts w:ascii="Times New Roman" w:eastAsia="Times New Roman" w:hAnsi="Times New Roman"/>
                <w:lang w:eastAsia="fr-FR"/>
              </w:rPr>
              <w:t xml:space="preserve"> et la lutte contre les flux financiers illicites.</w:t>
            </w:r>
          </w:p>
        </w:tc>
        <w:tc>
          <w:tcPr>
            <w:tcW w:w="0" w:type="auto"/>
            <w:hideMark/>
          </w:tcPr>
          <w:p w14:paraId="10F0E5E0" w14:textId="77777777" w:rsidR="00861B34" w:rsidRPr="006E116C" w:rsidRDefault="00861B34" w:rsidP="00471A51">
            <w:pPr>
              <w:spacing w:after="0" w:line="240" w:lineRule="auto"/>
              <w:rPr>
                <w:rFonts w:ascii="Times New Roman" w:eastAsia="Times New Roman" w:hAnsi="Times New Roman"/>
                <w:lang w:eastAsia="fr-FR"/>
              </w:rPr>
            </w:pPr>
            <w:r w:rsidRPr="006E116C">
              <w:rPr>
                <w:rFonts w:ascii="Times New Roman" w:eastAsia="Times New Roman" w:hAnsi="Times New Roman"/>
                <w:lang w:eastAsia="fr-FR"/>
              </w:rPr>
              <w:t>- Transparence des bénéficiaires effectifs</w:t>
            </w:r>
            <w:r w:rsidRPr="006E116C">
              <w:rPr>
                <w:rFonts w:ascii="Times New Roman" w:eastAsia="Times New Roman" w:hAnsi="Times New Roman"/>
                <w:lang w:eastAsia="fr-FR"/>
              </w:rPr>
              <w:br/>
              <w:t>- Suivi des recettes et des transferts infranationaux</w:t>
            </w:r>
          </w:p>
        </w:tc>
        <w:tc>
          <w:tcPr>
            <w:tcW w:w="0" w:type="auto"/>
            <w:hideMark/>
          </w:tcPr>
          <w:p w14:paraId="04AF8CA2" w14:textId="77777777" w:rsidR="00861B34" w:rsidRPr="006E116C" w:rsidRDefault="00861B34" w:rsidP="00471A51">
            <w:pPr>
              <w:spacing w:after="0" w:line="240" w:lineRule="auto"/>
              <w:rPr>
                <w:rFonts w:ascii="Times New Roman" w:eastAsia="Times New Roman" w:hAnsi="Times New Roman"/>
                <w:lang w:eastAsia="fr-FR"/>
              </w:rPr>
            </w:pPr>
            <w:r w:rsidRPr="006E116C">
              <w:rPr>
                <w:rFonts w:ascii="Times New Roman" w:eastAsia="Times New Roman" w:hAnsi="Times New Roman"/>
                <w:lang w:eastAsia="fr-FR"/>
              </w:rPr>
              <w:t>L’ITIE peut favoriser la mise en place de mécanismes de transparence fiscale et de suivi des flux financiers pour limiter l’évasion fiscale et améliorer la mobilisation des ressources.</w:t>
            </w:r>
          </w:p>
        </w:tc>
      </w:tr>
      <w:tr w:rsidR="00861B34" w:rsidRPr="006E116C" w14:paraId="7BF39B61" w14:textId="77777777" w:rsidTr="005F5B73">
        <w:trPr>
          <w:tblCellSpacing w:w="15" w:type="dxa"/>
        </w:trPr>
        <w:tc>
          <w:tcPr>
            <w:tcW w:w="0" w:type="auto"/>
            <w:hideMark/>
          </w:tcPr>
          <w:p w14:paraId="30DDC5CD" w14:textId="77777777" w:rsidR="00861B34" w:rsidRPr="006E116C" w:rsidRDefault="00861B34" w:rsidP="00471A51">
            <w:pPr>
              <w:spacing w:after="0" w:line="240" w:lineRule="auto"/>
              <w:rPr>
                <w:rFonts w:ascii="Times New Roman" w:eastAsia="Times New Roman" w:hAnsi="Times New Roman"/>
                <w:lang w:eastAsia="fr-FR"/>
              </w:rPr>
            </w:pPr>
            <w:r w:rsidRPr="006E116C">
              <w:rPr>
                <w:rFonts w:ascii="Times New Roman" w:eastAsia="Times New Roman" w:hAnsi="Times New Roman"/>
                <w:b/>
                <w:bCs/>
                <w:lang w:eastAsia="fr-FR"/>
              </w:rPr>
              <w:t>Environnement</w:t>
            </w:r>
            <w:r w:rsidRPr="006E116C">
              <w:rPr>
                <w:rFonts w:ascii="Times New Roman" w:eastAsia="Times New Roman" w:hAnsi="Times New Roman"/>
                <w:lang w:eastAsia="fr-FR"/>
              </w:rPr>
              <w:t xml:space="preserve"> : Rapatriement diligent des devises, signature des conventions de comptes séquestres pour la restauration des sites extractifs.</w:t>
            </w:r>
          </w:p>
        </w:tc>
        <w:tc>
          <w:tcPr>
            <w:tcW w:w="0" w:type="auto"/>
            <w:hideMark/>
          </w:tcPr>
          <w:p w14:paraId="46FA1680" w14:textId="77777777" w:rsidR="00861B34" w:rsidRPr="006E116C" w:rsidRDefault="00861B34" w:rsidP="00471A51">
            <w:pPr>
              <w:spacing w:after="0" w:line="240" w:lineRule="auto"/>
              <w:rPr>
                <w:rFonts w:ascii="Times New Roman" w:eastAsia="Times New Roman" w:hAnsi="Times New Roman"/>
                <w:lang w:eastAsia="fr-FR"/>
              </w:rPr>
            </w:pPr>
            <w:r w:rsidRPr="006E116C">
              <w:rPr>
                <w:rFonts w:ascii="Times New Roman" w:eastAsia="Times New Roman" w:hAnsi="Times New Roman"/>
                <w:lang w:eastAsia="fr-FR"/>
              </w:rPr>
              <w:t>- Rapatriement des fonds de restauration des sites</w:t>
            </w:r>
          </w:p>
        </w:tc>
        <w:tc>
          <w:tcPr>
            <w:tcW w:w="0" w:type="auto"/>
            <w:hideMark/>
          </w:tcPr>
          <w:p w14:paraId="033DFBDA" w14:textId="77777777" w:rsidR="00861B34" w:rsidRPr="006E116C" w:rsidRDefault="00861B34" w:rsidP="00471A51">
            <w:pPr>
              <w:spacing w:after="0" w:line="240" w:lineRule="auto"/>
              <w:rPr>
                <w:rFonts w:ascii="Times New Roman" w:eastAsia="Times New Roman" w:hAnsi="Times New Roman"/>
                <w:lang w:eastAsia="fr-FR"/>
              </w:rPr>
            </w:pPr>
            <w:r w:rsidRPr="006E116C">
              <w:rPr>
                <w:rFonts w:ascii="Times New Roman" w:eastAsia="Times New Roman" w:hAnsi="Times New Roman"/>
                <w:lang w:eastAsia="fr-FR"/>
              </w:rPr>
              <w:t>L’ITIE peut garantir que les fonds destinés à la réhabilitation environnementale sont bien collectés et utilisés conformément aux engagements.</w:t>
            </w:r>
          </w:p>
        </w:tc>
      </w:tr>
      <w:tr w:rsidR="00861B34" w:rsidRPr="006E116C" w14:paraId="77161D14" w14:textId="77777777" w:rsidTr="005F5B73">
        <w:trPr>
          <w:tblCellSpacing w:w="15" w:type="dxa"/>
        </w:trPr>
        <w:tc>
          <w:tcPr>
            <w:tcW w:w="0" w:type="auto"/>
            <w:hideMark/>
          </w:tcPr>
          <w:p w14:paraId="4B9CD97E" w14:textId="1177B695" w:rsidR="00861B34" w:rsidRPr="006E116C" w:rsidRDefault="00861B34" w:rsidP="00471A51">
            <w:pPr>
              <w:spacing w:after="0" w:line="240" w:lineRule="auto"/>
              <w:rPr>
                <w:rFonts w:ascii="Times New Roman" w:eastAsia="Times New Roman" w:hAnsi="Times New Roman"/>
                <w:lang w:eastAsia="fr-FR"/>
              </w:rPr>
            </w:pPr>
            <w:r w:rsidRPr="006E116C">
              <w:rPr>
                <w:rFonts w:ascii="Times New Roman" w:eastAsia="Times New Roman" w:hAnsi="Times New Roman"/>
                <w:b/>
                <w:bCs/>
                <w:lang w:eastAsia="fr-FR"/>
              </w:rPr>
              <w:t>Gouvernance et lutte contre la corruption</w:t>
            </w:r>
            <w:r w:rsidRPr="006E116C">
              <w:rPr>
                <w:rFonts w:ascii="Times New Roman" w:eastAsia="Times New Roman" w:hAnsi="Times New Roman"/>
                <w:lang w:eastAsia="fr-FR"/>
              </w:rPr>
              <w:t xml:space="preserve"> : </w:t>
            </w:r>
            <w:r w:rsidR="008E7684" w:rsidRPr="006E116C">
              <w:rPr>
                <w:rFonts w:ascii="Times New Roman" w:eastAsia="Times New Roman" w:hAnsi="Times New Roman"/>
                <w:lang w:eastAsia="fr-FR"/>
              </w:rPr>
              <w:t>lutte contre la corruption dans les sociétés nationales d’Etat (</w:t>
            </w:r>
            <w:r w:rsidRPr="006E116C">
              <w:rPr>
                <w:rFonts w:ascii="Times New Roman" w:eastAsia="Times New Roman" w:hAnsi="Times New Roman"/>
                <w:lang w:eastAsia="fr-FR"/>
              </w:rPr>
              <w:t>Affaire GLENCORE</w:t>
            </w:r>
            <w:r w:rsidR="008E7684" w:rsidRPr="006E116C">
              <w:rPr>
                <w:rFonts w:ascii="Times New Roman" w:eastAsia="Times New Roman" w:hAnsi="Times New Roman"/>
                <w:lang w:eastAsia="fr-FR"/>
              </w:rPr>
              <w:t>,…)</w:t>
            </w:r>
            <w:r w:rsidRPr="006E116C">
              <w:rPr>
                <w:rFonts w:ascii="Times New Roman" w:eastAsia="Times New Roman" w:hAnsi="Times New Roman"/>
                <w:lang w:eastAsia="fr-FR"/>
              </w:rPr>
              <w:t xml:space="preserve"> et lutte contre la contrebande d’or.</w:t>
            </w:r>
          </w:p>
        </w:tc>
        <w:tc>
          <w:tcPr>
            <w:tcW w:w="0" w:type="auto"/>
            <w:hideMark/>
          </w:tcPr>
          <w:p w14:paraId="41B87A0F" w14:textId="77777777" w:rsidR="00861B34" w:rsidRPr="006E116C" w:rsidRDefault="00861B34" w:rsidP="00471A51">
            <w:pPr>
              <w:spacing w:after="0" w:line="240" w:lineRule="auto"/>
              <w:rPr>
                <w:rFonts w:ascii="Times New Roman" w:eastAsia="Times New Roman" w:hAnsi="Times New Roman"/>
                <w:lang w:eastAsia="fr-FR"/>
              </w:rPr>
            </w:pPr>
            <w:r w:rsidRPr="006E116C">
              <w:rPr>
                <w:rFonts w:ascii="Times New Roman" w:eastAsia="Times New Roman" w:hAnsi="Times New Roman"/>
                <w:lang w:eastAsia="fr-FR"/>
              </w:rPr>
              <w:t>- Renforcement de l’engagement des parties prenantes</w:t>
            </w:r>
            <w:r w:rsidRPr="006E116C">
              <w:rPr>
                <w:rFonts w:ascii="Times New Roman" w:eastAsia="Times New Roman" w:hAnsi="Times New Roman"/>
                <w:lang w:eastAsia="fr-FR"/>
              </w:rPr>
              <w:br/>
              <w:t>- Renforcement du contrôle des entreprises d’État</w:t>
            </w:r>
          </w:p>
          <w:p w14:paraId="5B508DEA" w14:textId="6A4F56B6" w:rsidR="000413EE" w:rsidRPr="006E116C" w:rsidRDefault="000413EE" w:rsidP="00471A51">
            <w:pPr>
              <w:spacing w:after="0" w:line="240" w:lineRule="auto"/>
              <w:rPr>
                <w:rFonts w:ascii="Times New Roman" w:eastAsia="Times New Roman" w:hAnsi="Times New Roman"/>
                <w:lang w:eastAsia="fr-FR"/>
              </w:rPr>
            </w:pPr>
            <w:r w:rsidRPr="006E116C">
              <w:rPr>
                <w:rFonts w:ascii="Times New Roman" w:eastAsia="Times New Roman" w:hAnsi="Times New Roman"/>
                <w:lang w:eastAsia="fr-FR"/>
              </w:rPr>
              <w:t>- Divulgation du bénéficiaire effectif</w:t>
            </w:r>
          </w:p>
        </w:tc>
        <w:tc>
          <w:tcPr>
            <w:tcW w:w="0" w:type="auto"/>
            <w:hideMark/>
          </w:tcPr>
          <w:p w14:paraId="3C612D5D" w14:textId="77777777" w:rsidR="00861B34" w:rsidRPr="006E116C" w:rsidRDefault="00861B34" w:rsidP="00471A51">
            <w:pPr>
              <w:spacing w:after="0" w:line="240" w:lineRule="auto"/>
              <w:rPr>
                <w:rFonts w:ascii="Times New Roman" w:eastAsia="Times New Roman" w:hAnsi="Times New Roman"/>
                <w:lang w:eastAsia="fr-FR"/>
              </w:rPr>
            </w:pPr>
            <w:r w:rsidRPr="006E116C">
              <w:rPr>
                <w:rFonts w:ascii="Times New Roman" w:eastAsia="Times New Roman" w:hAnsi="Times New Roman"/>
                <w:lang w:eastAsia="fr-FR"/>
              </w:rPr>
              <w:t>L’ITIE peut soutenir l’accès à l’information sur les transactions des entreprises extractives et encourager la surveillance par la société civile pour réduire la corruption et la contreb</w:t>
            </w:r>
            <w:r w:rsidR="00406877" w:rsidRPr="006E116C">
              <w:rPr>
                <w:rFonts w:ascii="Times New Roman" w:eastAsia="Times New Roman" w:hAnsi="Times New Roman"/>
                <w:lang w:eastAsia="fr-FR"/>
              </w:rPr>
              <w:t>ande</w:t>
            </w:r>
          </w:p>
        </w:tc>
      </w:tr>
    </w:tbl>
    <w:p w14:paraId="26666F5E" w14:textId="77777777" w:rsidR="001B204F" w:rsidRDefault="001B204F" w:rsidP="001B204F">
      <w:pPr>
        <w:spacing w:after="0" w:line="240" w:lineRule="auto"/>
        <w:outlineLvl w:val="2"/>
        <w:rPr>
          <w:rFonts w:ascii="Times New Roman" w:eastAsia="Times New Roman" w:hAnsi="Times New Roman"/>
          <w:b/>
          <w:bCs/>
          <w:sz w:val="27"/>
          <w:szCs w:val="27"/>
          <w:lang w:eastAsia="fr-FR"/>
        </w:rPr>
      </w:pPr>
    </w:p>
    <w:p w14:paraId="42CB4097" w14:textId="215A1BD5" w:rsidR="006D51B8" w:rsidRPr="00E856C9" w:rsidRDefault="006E116C" w:rsidP="001B204F">
      <w:pPr>
        <w:spacing w:after="0"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5</w:t>
      </w:r>
      <w:r w:rsidR="006D51B8" w:rsidRPr="00E856C9">
        <w:rPr>
          <w:rFonts w:ascii="Times New Roman" w:eastAsia="Times New Roman" w:hAnsi="Times New Roman"/>
          <w:b/>
          <w:bCs/>
          <w:sz w:val="27"/>
          <w:szCs w:val="27"/>
          <w:lang w:eastAsia="fr-FR"/>
        </w:rPr>
        <w:t xml:space="preserve">. </w:t>
      </w:r>
      <w:r w:rsidR="00FA13BB" w:rsidRPr="00FA13BB">
        <w:rPr>
          <w:rFonts w:ascii="Times New Roman" w:eastAsia="Times New Roman" w:hAnsi="Times New Roman"/>
          <w:b/>
          <w:bCs/>
          <w:sz w:val="27"/>
          <w:szCs w:val="27"/>
          <w:lang w:eastAsia="fr-FR"/>
        </w:rPr>
        <w:t xml:space="preserve"> Processus d'Élaboration du Plan de Travail 2025</w:t>
      </w:r>
      <w:r w:rsidR="00726F69">
        <w:rPr>
          <w:rFonts w:ascii="Times New Roman" w:eastAsia="Times New Roman" w:hAnsi="Times New Roman"/>
          <w:b/>
          <w:bCs/>
          <w:sz w:val="27"/>
          <w:szCs w:val="27"/>
          <w:lang w:eastAsia="fr-FR"/>
        </w:rPr>
        <w:t xml:space="preserve"> : </w:t>
      </w:r>
      <w:r w:rsidR="00FA13BB">
        <w:rPr>
          <w:rFonts w:ascii="Times New Roman" w:eastAsia="Times New Roman" w:hAnsi="Times New Roman"/>
          <w:b/>
          <w:bCs/>
          <w:sz w:val="27"/>
          <w:szCs w:val="27"/>
          <w:lang w:eastAsia="fr-FR"/>
        </w:rPr>
        <w:t>c</w:t>
      </w:r>
      <w:r w:rsidR="006D51B8" w:rsidRPr="00E856C9">
        <w:rPr>
          <w:rFonts w:ascii="Times New Roman" w:eastAsia="Times New Roman" w:hAnsi="Times New Roman"/>
          <w:b/>
          <w:bCs/>
          <w:sz w:val="27"/>
          <w:szCs w:val="27"/>
          <w:lang w:eastAsia="fr-FR"/>
        </w:rPr>
        <w:t>onsultation des parties prenantes et prise en compte de leur avis</w:t>
      </w:r>
    </w:p>
    <w:p w14:paraId="0A79B9B9" w14:textId="6CD522BB" w:rsidR="006D51B8" w:rsidRPr="00BB531B" w:rsidRDefault="006D51B8" w:rsidP="00130369">
      <w:pPr>
        <w:spacing w:before="360" w:after="720" w:line="240" w:lineRule="auto"/>
        <w:jc w:val="both"/>
        <w:rPr>
          <w:rFonts w:ascii="Times New Roman" w:eastAsia="Times New Roman" w:hAnsi="Times New Roman"/>
          <w:i/>
          <w:iCs/>
          <w:sz w:val="24"/>
          <w:szCs w:val="24"/>
          <w:lang w:eastAsia="fr-FR"/>
        </w:rPr>
      </w:pPr>
      <w:r w:rsidRPr="00E856C9">
        <w:rPr>
          <w:rFonts w:ascii="Times New Roman" w:eastAsia="Times New Roman" w:hAnsi="Times New Roman"/>
          <w:sz w:val="24"/>
          <w:szCs w:val="24"/>
          <w:lang w:eastAsia="fr-FR"/>
        </w:rPr>
        <w:t>Un processus de consultation multipartite</w:t>
      </w:r>
      <w:r w:rsidR="00406877" w:rsidRPr="00E856C9">
        <w:rPr>
          <w:rFonts w:ascii="Times New Roman" w:eastAsia="Times New Roman" w:hAnsi="Times New Roman"/>
          <w:sz w:val="24"/>
          <w:szCs w:val="24"/>
          <w:lang w:eastAsia="fr-FR"/>
        </w:rPr>
        <w:t xml:space="preserve"> lancé en novembre 2024</w:t>
      </w:r>
      <w:r w:rsidRPr="00E856C9">
        <w:rPr>
          <w:rFonts w:ascii="Times New Roman" w:eastAsia="Times New Roman" w:hAnsi="Times New Roman"/>
          <w:sz w:val="24"/>
          <w:szCs w:val="24"/>
          <w:lang w:eastAsia="fr-FR"/>
        </w:rPr>
        <w:t xml:space="preserve"> a permis d’identifier les attentes des différents acteurs du secteur (administrations publiques, entreprises, société civile, collectivités locales). </w:t>
      </w:r>
      <w:r w:rsidR="00AB1CAE">
        <w:rPr>
          <w:rFonts w:ascii="Times New Roman" w:eastAsia="Times New Roman" w:hAnsi="Times New Roman"/>
          <w:sz w:val="24"/>
          <w:szCs w:val="24"/>
          <w:lang w:eastAsia="fr-FR"/>
        </w:rPr>
        <w:t>En affinant ladite consultation par un questionnaire, le GTSEC</w:t>
      </w:r>
      <w:r w:rsidR="00C717DE">
        <w:rPr>
          <w:rFonts w:ascii="Times New Roman" w:eastAsia="Times New Roman" w:hAnsi="Times New Roman"/>
          <w:sz w:val="24"/>
          <w:szCs w:val="24"/>
          <w:lang w:eastAsia="fr-FR"/>
        </w:rPr>
        <w:t xml:space="preserve"> a indiqué au cours de la session de février 2025 que </w:t>
      </w:r>
      <w:r w:rsidR="00AB1CAE">
        <w:rPr>
          <w:rFonts w:ascii="Times New Roman" w:eastAsia="Times New Roman" w:hAnsi="Times New Roman"/>
          <w:sz w:val="24"/>
          <w:szCs w:val="24"/>
          <w:lang w:eastAsia="fr-FR"/>
        </w:rPr>
        <w:t>c</w:t>
      </w:r>
      <w:r w:rsidRPr="00E856C9">
        <w:rPr>
          <w:rFonts w:ascii="Times New Roman" w:eastAsia="Times New Roman" w:hAnsi="Times New Roman"/>
          <w:sz w:val="24"/>
          <w:szCs w:val="24"/>
          <w:lang w:eastAsia="fr-FR"/>
        </w:rPr>
        <w:t>ette approche vise à garantir une meilleure intégration des enjeux de transparence, de lutte contre la corruption, de transition énergétique</w:t>
      </w:r>
      <w:r w:rsidR="00726F69">
        <w:rPr>
          <w:rFonts w:ascii="Times New Roman" w:eastAsia="Times New Roman" w:hAnsi="Times New Roman"/>
          <w:sz w:val="24"/>
          <w:szCs w:val="24"/>
          <w:lang w:eastAsia="fr-FR"/>
        </w:rPr>
        <w:t xml:space="preserve"> ainsi que des</w:t>
      </w:r>
      <w:r w:rsidR="00C717DE">
        <w:rPr>
          <w:rFonts w:ascii="Times New Roman" w:eastAsia="Times New Roman" w:hAnsi="Times New Roman"/>
          <w:sz w:val="24"/>
          <w:szCs w:val="24"/>
          <w:lang w:eastAsia="fr-FR"/>
        </w:rPr>
        <w:t xml:space="preserve"> </w:t>
      </w:r>
      <w:r w:rsidR="00C717DE">
        <w:rPr>
          <w:rFonts w:ascii="Times New Roman" w:eastAsia="Times New Roman" w:hAnsi="Times New Roman"/>
          <w:sz w:val="24"/>
          <w:szCs w:val="24"/>
          <w:lang w:eastAsia="fr-FR"/>
        </w:rPr>
        <w:lastRenderedPageBreak/>
        <w:t xml:space="preserve">mesures correctives de la </w:t>
      </w:r>
      <w:r w:rsidR="00DC5260">
        <w:rPr>
          <w:rFonts w:ascii="Times New Roman" w:eastAsia="Times New Roman" w:hAnsi="Times New Roman"/>
          <w:sz w:val="24"/>
          <w:szCs w:val="24"/>
          <w:lang w:eastAsia="fr-FR"/>
        </w:rPr>
        <w:t>récente</w:t>
      </w:r>
      <w:r w:rsidR="00C717DE">
        <w:rPr>
          <w:rFonts w:ascii="Times New Roman" w:eastAsia="Times New Roman" w:hAnsi="Times New Roman"/>
          <w:sz w:val="24"/>
          <w:szCs w:val="24"/>
          <w:lang w:eastAsia="fr-FR"/>
        </w:rPr>
        <w:t xml:space="preserve"> validation</w:t>
      </w:r>
      <w:r w:rsidR="001B204F">
        <w:rPr>
          <w:rFonts w:ascii="Times New Roman" w:eastAsia="Times New Roman" w:hAnsi="Times New Roman"/>
          <w:sz w:val="24"/>
          <w:szCs w:val="24"/>
          <w:lang w:eastAsia="fr-FR"/>
        </w:rPr>
        <w:t xml:space="preserve"> dans le Plan de T</w:t>
      </w:r>
      <w:r w:rsidRPr="00E856C9">
        <w:rPr>
          <w:rFonts w:ascii="Times New Roman" w:eastAsia="Times New Roman" w:hAnsi="Times New Roman"/>
          <w:sz w:val="24"/>
          <w:szCs w:val="24"/>
          <w:lang w:eastAsia="fr-FR"/>
        </w:rPr>
        <w:t>ravail.</w:t>
      </w:r>
      <w:r w:rsidR="00BD04DF">
        <w:rPr>
          <w:rFonts w:ascii="Times New Roman" w:eastAsia="Times New Roman" w:hAnsi="Times New Roman"/>
          <w:sz w:val="24"/>
          <w:szCs w:val="24"/>
          <w:lang w:eastAsia="fr-FR"/>
        </w:rPr>
        <w:t xml:space="preserve"> L</w:t>
      </w:r>
      <w:r w:rsidR="00923774">
        <w:rPr>
          <w:rFonts w:ascii="Times New Roman" w:eastAsia="Times New Roman" w:hAnsi="Times New Roman"/>
          <w:sz w:val="24"/>
          <w:szCs w:val="24"/>
          <w:lang w:eastAsia="fr-FR"/>
        </w:rPr>
        <w:t>e traitement dudit questionnaire a permis d’</w:t>
      </w:r>
      <w:r w:rsidR="00BD04DF">
        <w:rPr>
          <w:rFonts w:ascii="Times New Roman" w:eastAsia="Times New Roman" w:hAnsi="Times New Roman"/>
          <w:sz w:val="24"/>
          <w:szCs w:val="24"/>
          <w:lang w:eastAsia="fr-FR"/>
        </w:rPr>
        <w:t>intégrer</w:t>
      </w:r>
      <w:r w:rsidR="00923774">
        <w:rPr>
          <w:rFonts w:ascii="Times New Roman" w:eastAsia="Times New Roman" w:hAnsi="Times New Roman"/>
          <w:sz w:val="24"/>
          <w:szCs w:val="24"/>
          <w:lang w:eastAsia="fr-FR"/>
        </w:rPr>
        <w:t xml:space="preserve"> l’avis des parties prenantes</w:t>
      </w:r>
      <w:r w:rsidR="00BD04DF">
        <w:rPr>
          <w:rFonts w:ascii="Times New Roman" w:eastAsia="Times New Roman" w:hAnsi="Times New Roman"/>
          <w:sz w:val="24"/>
          <w:szCs w:val="24"/>
          <w:lang w:eastAsia="fr-FR"/>
        </w:rPr>
        <w:t>. Le Comité a examiné le projet de plan de travail et l’a adopté.</w:t>
      </w:r>
      <w:r w:rsidR="00BB531B">
        <w:rPr>
          <w:rFonts w:ascii="Times New Roman" w:eastAsia="Times New Roman" w:hAnsi="Times New Roman"/>
          <w:sz w:val="24"/>
          <w:szCs w:val="24"/>
          <w:lang w:eastAsia="fr-FR"/>
        </w:rPr>
        <w:t xml:space="preserve"> </w:t>
      </w:r>
      <w:r w:rsidR="00BB531B" w:rsidRPr="00BB531B">
        <w:rPr>
          <w:rFonts w:ascii="Times New Roman" w:eastAsia="Times New Roman" w:hAnsi="Times New Roman"/>
          <w:i/>
          <w:iCs/>
          <w:sz w:val="24"/>
          <w:szCs w:val="24"/>
          <w:lang w:eastAsia="fr-FR"/>
        </w:rPr>
        <w:t>(Voir la synthèse de la collecte des avis des différents collèges)</w:t>
      </w:r>
    </w:p>
    <w:p w14:paraId="7AD6B204" w14:textId="76094AC5" w:rsidR="008A1075" w:rsidRPr="00E856C9" w:rsidRDefault="006E116C" w:rsidP="006D51B8">
      <w:pPr>
        <w:spacing w:before="100" w:beforeAutospacing="1" w:after="100" w:afterAutospacing="1"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6</w:t>
      </w:r>
      <w:r w:rsidR="006D51B8" w:rsidRPr="00E856C9">
        <w:rPr>
          <w:rFonts w:ascii="Times New Roman" w:eastAsia="Times New Roman" w:hAnsi="Times New Roman"/>
          <w:b/>
          <w:bCs/>
          <w:sz w:val="27"/>
          <w:szCs w:val="27"/>
          <w:lang w:eastAsia="fr-FR"/>
        </w:rPr>
        <w:t xml:space="preserve">. </w:t>
      </w:r>
      <w:r w:rsidR="008A1075" w:rsidRPr="00E856C9">
        <w:rPr>
          <w:rFonts w:ascii="Times New Roman" w:eastAsia="Times New Roman" w:hAnsi="Times New Roman"/>
          <w:b/>
          <w:bCs/>
          <w:sz w:val="27"/>
          <w:szCs w:val="27"/>
          <w:lang w:eastAsia="fr-FR"/>
        </w:rPr>
        <w:t>Objectifs du Plan de Travail Annuel 2025</w:t>
      </w:r>
    </w:p>
    <w:p w14:paraId="19782C0E" w14:textId="01E4F313" w:rsidR="008A1075" w:rsidRPr="00A021B5" w:rsidRDefault="00233661" w:rsidP="005F5B73">
      <w:pPr>
        <w:spacing w:before="100" w:beforeAutospacing="1" w:after="100" w:afterAutospacing="1" w:line="240" w:lineRule="auto"/>
        <w:jc w:val="both"/>
        <w:rPr>
          <w:rFonts w:ascii="Times New Roman" w:eastAsia="Times New Roman" w:hAnsi="Times New Roman"/>
          <w:b/>
          <w:sz w:val="24"/>
          <w:szCs w:val="24"/>
          <w:lang w:eastAsia="fr-FR"/>
        </w:rPr>
      </w:pPr>
      <w:r w:rsidRPr="004E5FBA">
        <w:rPr>
          <w:rFonts w:ascii="Times New Roman" w:eastAsia="Times New Roman" w:hAnsi="Times New Roman"/>
          <w:b/>
          <w:bCs/>
          <w:sz w:val="24"/>
          <w:szCs w:val="24"/>
          <w:u w:val="single"/>
          <w:lang w:eastAsia="fr-FR"/>
        </w:rPr>
        <w:t xml:space="preserve">Objectif général </w:t>
      </w:r>
      <w:r w:rsidRPr="00233661">
        <w:rPr>
          <w:rFonts w:ascii="Times New Roman" w:eastAsia="Times New Roman" w:hAnsi="Times New Roman"/>
          <w:b/>
          <w:bCs/>
          <w:sz w:val="24"/>
          <w:szCs w:val="24"/>
          <w:lang w:eastAsia="fr-FR"/>
        </w:rPr>
        <w:t>:</w:t>
      </w:r>
      <w:r w:rsidRPr="00233661">
        <w:rPr>
          <w:rFonts w:ascii="Times New Roman" w:eastAsia="Times New Roman" w:hAnsi="Times New Roman"/>
          <w:sz w:val="24"/>
          <w:szCs w:val="24"/>
          <w:lang w:eastAsia="fr-FR"/>
        </w:rPr>
        <w:t xml:space="preserve"> </w:t>
      </w:r>
      <w:r w:rsidR="006D0AA1" w:rsidRPr="006D0AA1">
        <w:rPr>
          <w:rFonts w:ascii="Times New Roman" w:eastAsia="Times New Roman" w:hAnsi="Times New Roman"/>
          <w:b/>
          <w:sz w:val="24"/>
          <w:szCs w:val="24"/>
          <w:lang w:eastAsia="fr-FR"/>
        </w:rPr>
        <w:t>Renforcer l'engagement des parties prenantes pour un meilleur suivi de la mise en œuvre de l'ITIE</w:t>
      </w:r>
      <w:r w:rsidR="006D0AA1">
        <w:rPr>
          <w:rFonts w:ascii="Times New Roman" w:eastAsia="Times New Roman" w:hAnsi="Times New Roman"/>
          <w:b/>
          <w:sz w:val="24"/>
          <w:szCs w:val="24"/>
          <w:lang w:eastAsia="fr-FR"/>
        </w:rPr>
        <w:t xml:space="preserve"> </w:t>
      </w:r>
      <w:r w:rsidR="003576DA">
        <w:rPr>
          <w:rFonts w:ascii="Times New Roman" w:eastAsia="Times New Roman" w:hAnsi="Times New Roman"/>
          <w:b/>
          <w:sz w:val="24"/>
          <w:szCs w:val="24"/>
          <w:lang w:eastAsia="fr-FR"/>
        </w:rPr>
        <w:t>à la lumière de la récente décision de Validation du Cameroun.</w:t>
      </w:r>
    </w:p>
    <w:p w14:paraId="42C4BC1C" w14:textId="69C13A34" w:rsidR="00AD0F4E" w:rsidRPr="00130369" w:rsidRDefault="008A1075" w:rsidP="00D35A75">
      <w:pPr>
        <w:spacing w:before="100" w:beforeAutospacing="1" w:after="100" w:afterAutospacing="1" w:line="240" w:lineRule="auto"/>
        <w:outlineLvl w:val="3"/>
        <w:rPr>
          <w:rFonts w:ascii="Times New Roman" w:eastAsia="Times New Roman" w:hAnsi="Times New Roman"/>
          <w:sz w:val="24"/>
          <w:szCs w:val="24"/>
          <w:lang w:eastAsia="fr-FR"/>
        </w:rPr>
      </w:pPr>
      <w:r w:rsidRPr="00130369">
        <w:rPr>
          <w:rFonts w:ascii="Times New Roman" w:eastAsia="Times New Roman" w:hAnsi="Times New Roman"/>
          <w:b/>
          <w:bCs/>
          <w:sz w:val="24"/>
          <w:szCs w:val="24"/>
          <w:u w:val="single"/>
          <w:lang w:eastAsia="fr-FR"/>
        </w:rPr>
        <w:t>Objectifs Spécifiques</w:t>
      </w:r>
      <w:r w:rsidR="00AD0F4E" w:rsidRPr="00130369">
        <w:rPr>
          <w:rFonts w:ascii="Times New Roman" w:eastAsia="Times New Roman" w:hAnsi="Times New Roman"/>
          <w:b/>
          <w:bCs/>
          <w:sz w:val="24"/>
          <w:szCs w:val="24"/>
          <w:u w:val="single"/>
          <w:lang w:eastAsia="fr-FR"/>
        </w:rPr>
        <w:t xml:space="preserve"> ou prioritaires</w:t>
      </w:r>
      <w:r w:rsidR="00130369">
        <w:rPr>
          <w:rFonts w:ascii="Times New Roman" w:eastAsia="Times New Roman" w:hAnsi="Times New Roman"/>
          <w:sz w:val="24"/>
          <w:szCs w:val="24"/>
          <w:lang w:eastAsia="fr-FR"/>
        </w:rPr>
        <w:t> : Le PTA 2025 comprend quinze (15) objectifs prioritaires qui se déclinent ainsi qu’il suit :</w:t>
      </w:r>
    </w:p>
    <w:p w14:paraId="124A46F4" w14:textId="5D8B9065" w:rsidR="00AD0F4E" w:rsidRPr="00C13266" w:rsidRDefault="00C13266" w:rsidP="00AD0F4E">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sidRPr="00C13266">
        <w:rPr>
          <w:rFonts w:ascii="Times New Roman" w:eastAsia="Times New Roman" w:hAnsi="Times New Roman"/>
          <w:b/>
          <w:bCs/>
          <w:i/>
          <w:iCs/>
          <w:lang w:eastAsia="fr-FR"/>
        </w:rPr>
        <w:t>Améliorer la transparence et la bonne gouvernance dans le secteur extractif par une implication renforcée de l’État, notamment via le leadership, la mobilisation de ressources financières et techniques suffisantes, la supervision du secrétariat de l’ITIE Cameroun, ainsi que l’intégration de l’ITIE dans le cadre réglementaire et institutionnel national</w:t>
      </w:r>
    </w:p>
    <w:p w14:paraId="3883943F" w14:textId="280879E9" w:rsidR="00AD0F4E" w:rsidRPr="00C13266" w:rsidRDefault="00C13266" w:rsidP="00AD0F4E">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sidRPr="00C13266">
        <w:rPr>
          <w:rFonts w:ascii="Times New Roman" w:eastAsia="Times New Roman" w:hAnsi="Times New Roman"/>
          <w:b/>
          <w:bCs/>
          <w:i/>
          <w:iCs/>
          <w:lang w:eastAsia="fr-FR"/>
        </w:rPr>
        <w:t>Garantir une implication active et efficace des entreprises extractives dans le processus de mise en œuvre de l'ITIE au Cameroun</w:t>
      </w:r>
    </w:p>
    <w:p w14:paraId="404B05E7" w14:textId="51CEF5F0" w:rsidR="00BD0259" w:rsidRPr="00C13266" w:rsidRDefault="00C13266" w:rsidP="00AD0F4E">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sidRPr="00C13266">
        <w:rPr>
          <w:rFonts w:ascii="Times New Roman" w:eastAsia="Times New Roman" w:hAnsi="Times New Roman"/>
          <w:b/>
          <w:bCs/>
          <w:i/>
          <w:iCs/>
          <w:lang w:eastAsia="fr-FR"/>
        </w:rPr>
        <w:t>Promouvoir la liberté d’expression dans la gestion des ressources extractives et protéger les acteurs de la société civile contre toute forme de harcèlement, intimidation ou persécution, en assurant une représentation égale et équitable au sein du Groupe multipartite</w:t>
      </w:r>
    </w:p>
    <w:p w14:paraId="7898BD72" w14:textId="5027DE2E" w:rsidR="00BD0259" w:rsidRPr="00C13266" w:rsidRDefault="00C13266" w:rsidP="00BD0259">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sidRPr="00C13266">
        <w:rPr>
          <w:rFonts w:ascii="Times New Roman" w:eastAsia="Times New Roman" w:hAnsi="Times New Roman"/>
          <w:b/>
          <w:bCs/>
          <w:i/>
          <w:iCs/>
          <w:lang w:eastAsia="fr-FR"/>
        </w:rPr>
        <w:t>Garantir une supervision multipartite du processus ITIE au Cameroun qui soit inclusive, transparente et représentative des différentes parties prenantes, tout en respectant le pluralisme, la diversité et l'équilibre hommes-femmes</w:t>
      </w:r>
    </w:p>
    <w:p w14:paraId="45A2B77B" w14:textId="4E1FCDF1" w:rsidR="00BD0259" w:rsidRPr="00C13266" w:rsidRDefault="00C13266" w:rsidP="00BD0259">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sidRPr="00C13266">
        <w:rPr>
          <w:rFonts w:ascii="Times New Roman" w:eastAsia="Times New Roman" w:hAnsi="Times New Roman"/>
          <w:b/>
          <w:bCs/>
          <w:i/>
          <w:iCs/>
          <w:lang w:eastAsia="fr-FR"/>
        </w:rPr>
        <w:t>Préparer l’évaluation ciblée de la composante « engagement des parties prenantes » du Cameroun à l’ITIE en 2025</w:t>
      </w:r>
    </w:p>
    <w:p w14:paraId="1A6AB240" w14:textId="298A6C54" w:rsidR="00BD0259" w:rsidRPr="00C13266" w:rsidRDefault="00396871" w:rsidP="00BD0259">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sidRPr="00396871">
        <w:rPr>
          <w:rFonts w:ascii="Times New Roman" w:eastAsia="Times New Roman" w:hAnsi="Times New Roman"/>
          <w:b/>
          <w:bCs/>
          <w:i/>
          <w:iCs/>
          <w:lang w:eastAsia="fr-FR"/>
        </w:rPr>
        <w:t xml:space="preserve">Produire des rapports ITIE 2022 et 2023 conformes aux exigences de la Norme ITIE 2023 et encourager les parties prenantes à évoluer vers le </w:t>
      </w:r>
      <w:r w:rsidRPr="001163A3">
        <w:rPr>
          <w:rFonts w:ascii="Times New Roman" w:eastAsia="Times New Roman" w:hAnsi="Times New Roman"/>
          <w:b/>
          <w:bCs/>
          <w:i/>
          <w:iCs/>
          <w:lang w:eastAsia="fr-FR"/>
        </w:rPr>
        <w:t xml:space="preserve">mainstreaming </w:t>
      </w:r>
      <w:r w:rsidRPr="00396871">
        <w:rPr>
          <w:rFonts w:ascii="Times New Roman" w:eastAsia="Times New Roman" w:hAnsi="Times New Roman"/>
          <w:b/>
          <w:bCs/>
          <w:i/>
          <w:iCs/>
          <w:lang w:eastAsia="fr-FR"/>
        </w:rPr>
        <w:t>intégral en fin 2025</w:t>
      </w:r>
    </w:p>
    <w:p w14:paraId="5407098A" w14:textId="60609CF1" w:rsidR="00BD0259" w:rsidRPr="00C13266" w:rsidRDefault="00396871" w:rsidP="00BD0259">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sidRPr="00396871">
        <w:rPr>
          <w:rFonts w:ascii="Times New Roman" w:eastAsia="Times New Roman" w:hAnsi="Times New Roman"/>
          <w:b/>
          <w:bCs/>
          <w:i/>
          <w:iCs/>
          <w:lang w:eastAsia="fr-FR"/>
        </w:rPr>
        <w:t>Promouvoir la transparence et l’accès à l’information concernant le cadre juridique et fiscal des activités minières à la lumière des textes d’application du Code minier</w:t>
      </w:r>
    </w:p>
    <w:p w14:paraId="7CE24B77" w14:textId="02918049" w:rsidR="00BD0259" w:rsidRPr="00C13266" w:rsidRDefault="00396871" w:rsidP="00BD0259">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sidRPr="00396871">
        <w:rPr>
          <w:rFonts w:ascii="Times New Roman" w:eastAsia="Times New Roman" w:hAnsi="Times New Roman"/>
          <w:b/>
          <w:bCs/>
          <w:i/>
          <w:iCs/>
          <w:lang w:eastAsia="fr-FR"/>
        </w:rPr>
        <w:t>Renforcer la transparence financière dans les industries extractives au Cameroun</w:t>
      </w:r>
    </w:p>
    <w:p w14:paraId="124FD840" w14:textId="1CF63CBF" w:rsidR="00BD0259" w:rsidRPr="00C13266" w:rsidRDefault="005638EB" w:rsidP="00BD0259">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sidRPr="005638EB">
        <w:rPr>
          <w:rFonts w:ascii="Times New Roman" w:eastAsia="Times New Roman" w:hAnsi="Times New Roman"/>
          <w:b/>
          <w:bCs/>
          <w:i/>
          <w:iCs/>
          <w:lang w:eastAsia="fr-FR"/>
        </w:rPr>
        <w:t>Environnement : Rapatriement des devises et restauration des sites extractifs</w:t>
      </w:r>
    </w:p>
    <w:p w14:paraId="50484099" w14:textId="6421C1DC" w:rsidR="00BD0259" w:rsidRPr="00C13266" w:rsidRDefault="005638EB" w:rsidP="00BD0259">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sidRPr="005638EB">
        <w:rPr>
          <w:rFonts w:ascii="Times New Roman" w:eastAsia="Times New Roman" w:hAnsi="Times New Roman"/>
          <w:b/>
          <w:bCs/>
          <w:i/>
          <w:iCs/>
          <w:lang w:eastAsia="fr-FR"/>
        </w:rPr>
        <w:t xml:space="preserve">Contribuer à la </w:t>
      </w:r>
      <w:r>
        <w:rPr>
          <w:rFonts w:ascii="Times New Roman" w:eastAsia="Times New Roman" w:hAnsi="Times New Roman"/>
          <w:b/>
          <w:bCs/>
          <w:i/>
          <w:iCs/>
          <w:lang w:eastAsia="fr-FR"/>
        </w:rPr>
        <w:t>l</w:t>
      </w:r>
      <w:r w:rsidRPr="005638EB">
        <w:rPr>
          <w:rFonts w:ascii="Times New Roman" w:eastAsia="Times New Roman" w:hAnsi="Times New Roman"/>
          <w:b/>
          <w:bCs/>
          <w:i/>
          <w:iCs/>
          <w:lang w:eastAsia="fr-FR"/>
        </w:rPr>
        <w:t>utte contre la Corruption dans le secteur extractif</w:t>
      </w:r>
    </w:p>
    <w:p w14:paraId="00D23C25" w14:textId="5F20EAE3" w:rsidR="00BD0259" w:rsidRPr="00C13266" w:rsidRDefault="005638EB" w:rsidP="00BD0259">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sidRPr="005638EB">
        <w:t xml:space="preserve"> </w:t>
      </w:r>
      <w:r w:rsidRPr="005638EB">
        <w:rPr>
          <w:rFonts w:ascii="Times New Roman" w:eastAsia="Times New Roman" w:hAnsi="Times New Roman"/>
          <w:b/>
          <w:bCs/>
          <w:i/>
          <w:iCs/>
          <w:lang w:eastAsia="fr-FR"/>
        </w:rPr>
        <w:t>Transition énergétique : Réduire les émissions de GES à travers une meilleure gestion, collecte, et traitement des données relatives à ces émissions, en alignant les priorités nationales du MINEPDED avec les normes internationales (ITIE)</w:t>
      </w:r>
    </w:p>
    <w:p w14:paraId="7870D99D" w14:textId="34F8D803" w:rsidR="00BD0259" w:rsidRPr="00C13266" w:rsidRDefault="00385AF8" w:rsidP="00BD0259">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sidRPr="00385AF8">
        <w:t xml:space="preserve"> </w:t>
      </w:r>
      <w:r w:rsidRPr="00385AF8">
        <w:rPr>
          <w:rFonts w:ascii="Times New Roman" w:eastAsia="Times New Roman" w:hAnsi="Times New Roman"/>
          <w:b/>
          <w:bCs/>
          <w:i/>
          <w:iCs/>
          <w:lang w:eastAsia="fr-FR"/>
        </w:rPr>
        <w:t>Planifier les priorités nationales et les actions spécifiques pour renforcer la gouvernance des ressources extractives, assurer la transparence et promouvoir la participation des parties prenantes dans le processus ITIE</w:t>
      </w:r>
    </w:p>
    <w:p w14:paraId="2B0E03D0" w14:textId="49440ED0" w:rsidR="00BD0259" w:rsidRPr="00C13266" w:rsidRDefault="00D2352F" w:rsidP="00BD0259">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sidRPr="00D2352F">
        <w:rPr>
          <w:rFonts w:ascii="Times New Roman" w:eastAsia="Times New Roman" w:hAnsi="Times New Roman"/>
          <w:b/>
          <w:bCs/>
          <w:i/>
          <w:iCs/>
          <w:lang w:eastAsia="fr-FR"/>
        </w:rPr>
        <w:t>Créer un processus d'examen annuel transparent et participatif pour évaluer l'impact de l'ITIE, identifier des améliorations et garantir la participation active des parties prenantes, tout en assurant la gestion transparente des recommandations non mises en œuvre</w:t>
      </w:r>
    </w:p>
    <w:p w14:paraId="3A48CB35" w14:textId="7D23AD2E" w:rsidR="00BD0259" w:rsidRPr="00C13266" w:rsidRDefault="00D2352F" w:rsidP="00BD0259">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sidRPr="00D2352F">
        <w:rPr>
          <w:rFonts w:ascii="Times New Roman" w:eastAsia="Times New Roman" w:hAnsi="Times New Roman"/>
          <w:b/>
          <w:bCs/>
          <w:i/>
          <w:iCs/>
          <w:lang w:eastAsia="fr-FR"/>
        </w:rPr>
        <w:t>Améliorer la compréhension des données ITIE par tous les acteurs concernés, tout en garantissant que ces données contribuent à une gouvernance plus responsable et efficace</w:t>
      </w:r>
    </w:p>
    <w:p w14:paraId="6139A500" w14:textId="670DC076" w:rsidR="00BD0259" w:rsidRPr="00C13266" w:rsidRDefault="00D2352F" w:rsidP="00BD0259">
      <w:pPr>
        <w:pStyle w:val="Pieddepage"/>
        <w:numPr>
          <w:ilvl w:val="0"/>
          <w:numId w:val="21"/>
        </w:numPr>
        <w:spacing w:before="100" w:beforeAutospacing="1" w:after="100" w:afterAutospacing="1"/>
        <w:outlineLvl w:val="3"/>
        <w:rPr>
          <w:rFonts w:ascii="Times New Roman" w:eastAsia="Times New Roman" w:hAnsi="Times New Roman"/>
          <w:b/>
          <w:bCs/>
          <w:i/>
          <w:iCs/>
          <w:lang w:eastAsia="fr-FR"/>
        </w:rPr>
      </w:pPr>
      <w:r>
        <w:rPr>
          <w:rFonts w:ascii="Times New Roman" w:eastAsia="Times New Roman" w:hAnsi="Times New Roman"/>
          <w:b/>
          <w:bCs/>
          <w:i/>
          <w:iCs/>
          <w:lang w:eastAsia="fr-FR"/>
        </w:rPr>
        <w:t>A</w:t>
      </w:r>
      <w:r w:rsidRPr="00D2352F">
        <w:rPr>
          <w:rFonts w:ascii="Times New Roman" w:eastAsia="Times New Roman" w:hAnsi="Times New Roman"/>
          <w:b/>
          <w:bCs/>
          <w:i/>
          <w:iCs/>
          <w:lang w:eastAsia="fr-FR"/>
        </w:rPr>
        <w:t>ssurer la prise en compte des recommandations ITIE dans la formulation des politiques et de favoriser l’adhésion des citoyens aux processus de gouvernance</w:t>
      </w:r>
    </w:p>
    <w:p w14:paraId="4EDC4ED7" w14:textId="2D95CA50" w:rsidR="00CA22E6" w:rsidRPr="0079582F" w:rsidRDefault="004E5FBA" w:rsidP="00A22A1F">
      <w:pPr>
        <w:spacing w:before="100" w:beforeAutospacing="1" w:after="0" w:line="240" w:lineRule="auto"/>
        <w:jc w:val="both"/>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lastRenderedPageBreak/>
        <w:t>7</w:t>
      </w:r>
      <w:r w:rsidR="008A1075" w:rsidRPr="00E856C9">
        <w:rPr>
          <w:rFonts w:ascii="Times New Roman" w:eastAsia="Times New Roman" w:hAnsi="Times New Roman"/>
          <w:b/>
          <w:bCs/>
          <w:sz w:val="27"/>
          <w:szCs w:val="27"/>
          <w:lang w:eastAsia="fr-FR"/>
        </w:rPr>
        <w:t xml:space="preserve">. </w:t>
      </w:r>
      <w:r w:rsidR="00CA22E6" w:rsidRPr="0079582F">
        <w:rPr>
          <w:rFonts w:ascii="Times New Roman" w:eastAsia="Times New Roman" w:hAnsi="Times New Roman"/>
          <w:b/>
          <w:bCs/>
          <w:sz w:val="27"/>
          <w:szCs w:val="27"/>
          <w:lang w:eastAsia="fr-FR"/>
        </w:rPr>
        <w:t xml:space="preserve">Mécanismes de </w:t>
      </w:r>
      <w:r w:rsidR="00496711">
        <w:rPr>
          <w:rFonts w:ascii="Times New Roman" w:eastAsia="Times New Roman" w:hAnsi="Times New Roman"/>
          <w:b/>
          <w:bCs/>
          <w:sz w:val="27"/>
          <w:szCs w:val="27"/>
          <w:lang w:eastAsia="fr-FR"/>
        </w:rPr>
        <w:t>m</w:t>
      </w:r>
      <w:r w:rsidR="00CA22E6" w:rsidRPr="0079582F">
        <w:rPr>
          <w:rFonts w:ascii="Times New Roman" w:eastAsia="Times New Roman" w:hAnsi="Times New Roman"/>
          <w:b/>
          <w:bCs/>
          <w:sz w:val="27"/>
          <w:szCs w:val="27"/>
          <w:lang w:eastAsia="fr-FR"/>
        </w:rPr>
        <w:t xml:space="preserve">ise en </w:t>
      </w:r>
      <w:r w:rsidR="00496711">
        <w:rPr>
          <w:rFonts w:ascii="Times New Roman" w:eastAsia="Times New Roman" w:hAnsi="Times New Roman"/>
          <w:b/>
          <w:bCs/>
          <w:sz w:val="27"/>
          <w:szCs w:val="27"/>
          <w:lang w:eastAsia="fr-FR"/>
        </w:rPr>
        <w:t>œu</w:t>
      </w:r>
      <w:r w:rsidR="00496711" w:rsidRPr="0079582F">
        <w:rPr>
          <w:rFonts w:ascii="Times New Roman" w:eastAsia="Times New Roman" w:hAnsi="Times New Roman"/>
          <w:b/>
          <w:bCs/>
          <w:sz w:val="27"/>
          <w:szCs w:val="27"/>
          <w:lang w:eastAsia="fr-FR"/>
        </w:rPr>
        <w:t>vre</w:t>
      </w:r>
      <w:r w:rsidR="00CA22E6" w:rsidRPr="0079582F">
        <w:rPr>
          <w:rFonts w:ascii="Times New Roman" w:eastAsia="Times New Roman" w:hAnsi="Times New Roman"/>
          <w:b/>
          <w:bCs/>
          <w:sz w:val="27"/>
          <w:szCs w:val="27"/>
          <w:lang w:eastAsia="fr-FR"/>
        </w:rPr>
        <w:t xml:space="preserve"> et de </w:t>
      </w:r>
      <w:r w:rsidR="00496711">
        <w:rPr>
          <w:rFonts w:ascii="Times New Roman" w:eastAsia="Times New Roman" w:hAnsi="Times New Roman"/>
          <w:b/>
          <w:bCs/>
          <w:sz w:val="27"/>
          <w:szCs w:val="27"/>
          <w:lang w:eastAsia="fr-FR"/>
        </w:rPr>
        <w:t>s</w:t>
      </w:r>
      <w:r w:rsidR="00CA22E6" w:rsidRPr="0079582F">
        <w:rPr>
          <w:rFonts w:ascii="Times New Roman" w:eastAsia="Times New Roman" w:hAnsi="Times New Roman"/>
          <w:b/>
          <w:bCs/>
          <w:sz w:val="27"/>
          <w:szCs w:val="27"/>
          <w:lang w:eastAsia="fr-FR"/>
        </w:rPr>
        <w:t>uivi</w:t>
      </w:r>
    </w:p>
    <w:p w14:paraId="74C963E5" w14:textId="77777777" w:rsidR="00CA22E6" w:rsidRPr="00CA22E6" w:rsidRDefault="00CA22E6" w:rsidP="00A22A1F">
      <w:p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sz w:val="24"/>
          <w:szCs w:val="24"/>
          <w:lang w:eastAsia="fr-FR"/>
        </w:rPr>
        <w:t>La mise en œuvre du PTA 2025 repose sur une gouvernance inclusive impliquant :</w:t>
      </w:r>
    </w:p>
    <w:p w14:paraId="6D0A4791" w14:textId="1FF3A2CD" w:rsidR="00CA22E6" w:rsidRDefault="00E04352" w:rsidP="00A22A1F">
      <w:pPr>
        <w:numPr>
          <w:ilvl w:val="0"/>
          <w:numId w:val="12"/>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Comité</w:t>
      </w:r>
      <w:r w:rsidR="00EB6540">
        <w:rPr>
          <w:rFonts w:ascii="Times New Roman" w:eastAsia="Times New Roman" w:hAnsi="Times New Roman"/>
          <w:b/>
          <w:bCs/>
          <w:sz w:val="24"/>
          <w:szCs w:val="24"/>
          <w:lang w:eastAsia="fr-FR"/>
        </w:rPr>
        <w:t xml:space="preserve"> </w:t>
      </w:r>
      <w:r w:rsidR="00AA21AB">
        <w:rPr>
          <w:rFonts w:ascii="Times New Roman" w:eastAsia="Times New Roman" w:hAnsi="Times New Roman"/>
          <w:sz w:val="24"/>
          <w:szCs w:val="24"/>
          <w:lang w:eastAsia="fr-FR"/>
        </w:rPr>
        <w:t>: Supervision stratégique</w:t>
      </w:r>
    </w:p>
    <w:p w14:paraId="3E687DC9" w14:textId="0CE66E26" w:rsidR="00AA21AB" w:rsidRPr="00CA22E6" w:rsidRDefault="00AA21AB" w:rsidP="00BE7151">
      <w:pPr>
        <w:numPr>
          <w:ilvl w:val="0"/>
          <w:numId w:val="12"/>
        </w:num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b/>
          <w:bCs/>
          <w:sz w:val="24"/>
          <w:szCs w:val="24"/>
          <w:lang w:eastAsia="fr-FR"/>
        </w:rPr>
        <w:t>GTSEC</w:t>
      </w:r>
      <w:r w:rsidR="00BE7151">
        <w:rPr>
          <w:rFonts w:ascii="Times New Roman" w:eastAsia="Times New Roman" w:hAnsi="Times New Roman"/>
          <w:sz w:val="24"/>
          <w:szCs w:val="24"/>
          <w:lang w:eastAsia="fr-FR"/>
        </w:rPr>
        <w:t xml:space="preserve"> : </w:t>
      </w:r>
      <w:r w:rsidR="00BE7151" w:rsidRPr="00BE7151">
        <w:rPr>
          <w:rFonts w:ascii="Times New Roman" w:eastAsia="Times New Roman" w:hAnsi="Times New Roman"/>
          <w:sz w:val="24"/>
          <w:szCs w:val="24"/>
          <w:lang w:eastAsia="fr-FR"/>
        </w:rPr>
        <w:t>Coordination</w:t>
      </w:r>
      <w:r w:rsidRPr="00CA22E6">
        <w:rPr>
          <w:rFonts w:ascii="Times New Roman" w:eastAsia="Times New Roman" w:hAnsi="Times New Roman"/>
          <w:sz w:val="24"/>
          <w:szCs w:val="24"/>
          <w:lang w:eastAsia="fr-FR"/>
        </w:rPr>
        <w:t xml:space="preserve"> des actions prioritaires et suivi des engagements</w:t>
      </w:r>
      <w:r w:rsidR="00496711">
        <w:rPr>
          <w:rFonts w:ascii="Times New Roman" w:eastAsia="Times New Roman" w:hAnsi="Times New Roman"/>
          <w:sz w:val="24"/>
          <w:szCs w:val="24"/>
          <w:lang w:eastAsia="fr-FR"/>
        </w:rPr>
        <w:t xml:space="preserve"> durant son mandat</w:t>
      </w:r>
      <w:r w:rsidRPr="00CA22E6">
        <w:rPr>
          <w:rFonts w:ascii="Times New Roman" w:eastAsia="Times New Roman" w:hAnsi="Times New Roman"/>
          <w:sz w:val="24"/>
          <w:szCs w:val="24"/>
          <w:lang w:eastAsia="fr-FR"/>
        </w:rPr>
        <w:t>.</w:t>
      </w:r>
    </w:p>
    <w:p w14:paraId="49AE6874" w14:textId="77777777" w:rsidR="00CA22E6" w:rsidRPr="00CA22E6" w:rsidRDefault="00CA22E6" w:rsidP="00BE7151">
      <w:pPr>
        <w:numPr>
          <w:ilvl w:val="0"/>
          <w:numId w:val="12"/>
        </w:num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b/>
          <w:bCs/>
          <w:sz w:val="24"/>
          <w:szCs w:val="24"/>
          <w:lang w:eastAsia="fr-FR"/>
        </w:rPr>
        <w:t>Secrétariat Permanent</w:t>
      </w:r>
      <w:r w:rsidRPr="00CA22E6">
        <w:rPr>
          <w:rFonts w:ascii="Times New Roman" w:eastAsia="Times New Roman" w:hAnsi="Times New Roman"/>
          <w:sz w:val="24"/>
          <w:szCs w:val="24"/>
          <w:lang w:eastAsia="fr-FR"/>
        </w:rPr>
        <w:t xml:space="preserve"> : </w:t>
      </w:r>
      <w:r w:rsidR="00BE7151" w:rsidRPr="00BE7151">
        <w:rPr>
          <w:rFonts w:ascii="Times New Roman" w:eastAsia="Times New Roman" w:hAnsi="Times New Roman"/>
          <w:sz w:val="24"/>
          <w:szCs w:val="24"/>
          <w:lang w:eastAsia="fr-FR"/>
        </w:rPr>
        <w:t xml:space="preserve">Exécution </w:t>
      </w:r>
      <w:r w:rsidRPr="00CA22E6">
        <w:rPr>
          <w:rFonts w:ascii="Times New Roman" w:eastAsia="Times New Roman" w:hAnsi="Times New Roman"/>
          <w:sz w:val="24"/>
          <w:szCs w:val="24"/>
          <w:lang w:eastAsia="fr-FR"/>
        </w:rPr>
        <w:t>opérationnelle.</w:t>
      </w:r>
    </w:p>
    <w:p w14:paraId="42E9FB37" w14:textId="77777777" w:rsidR="00CA22E6" w:rsidRPr="00CA22E6" w:rsidRDefault="00CA22E6" w:rsidP="00A22A1F">
      <w:pPr>
        <w:numPr>
          <w:ilvl w:val="0"/>
          <w:numId w:val="12"/>
        </w:num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b/>
          <w:bCs/>
          <w:sz w:val="24"/>
          <w:szCs w:val="24"/>
          <w:lang w:eastAsia="fr-FR"/>
        </w:rPr>
        <w:t>Collèges des parties prenantes</w:t>
      </w:r>
      <w:r w:rsidRPr="00CA22E6">
        <w:rPr>
          <w:rFonts w:ascii="Times New Roman" w:eastAsia="Times New Roman" w:hAnsi="Times New Roman"/>
          <w:sz w:val="24"/>
          <w:szCs w:val="24"/>
          <w:lang w:eastAsia="fr-FR"/>
        </w:rPr>
        <w:t xml:space="preserve"> : Consultation et mobilisation.</w:t>
      </w:r>
    </w:p>
    <w:p w14:paraId="255734FD" w14:textId="77777777" w:rsidR="00CA22E6" w:rsidRPr="00CA22E6" w:rsidRDefault="00CA22E6" w:rsidP="00A22A1F">
      <w:p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sz w:val="24"/>
          <w:szCs w:val="24"/>
          <w:lang w:eastAsia="fr-FR"/>
        </w:rPr>
        <w:t>Le mécanisme de suivi comprend :</w:t>
      </w:r>
    </w:p>
    <w:p w14:paraId="1D9896BE" w14:textId="77777777" w:rsidR="00CA22E6" w:rsidRPr="00CA22E6" w:rsidRDefault="00CA22E6" w:rsidP="00A22A1F">
      <w:pPr>
        <w:numPr>
          <w:ilvl w:val="0"/>
          <w:numId w:val="13"/>
        </w:num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b/>
          <w:bCs/>
          <w:sz w:val="24"/>
          <w:szCs w:val="24"/>
          <w:lang w:eastAsia="fr-FR"/>
        </w:rPr>
        <w:t>Suivi trimestriel par le GTSEC</w:t>
      </w:r>
      <w:r w:rsidR="00AE7AC5">
        <w:rPr>
          <w:rFonts w:ascii="Times New Roman" w:eastAsia="Times New Roman" w:hAnsi="Times New Roman"/>
          <w:sz w:val="24"/>
          <w:szCs w:val="24"/>
          <w:lang w:eastAsia="fr-FR"/>
        </w:rPr>
        <w:t xml:space="preserve"> des actions prioritaires pour l’évaluation ciblée.</w:t>
      </w:r>
    </w:p>
    <w:p w14:paraId="01DBBFC8" w14:textId="6EE47035" w:rsidR="00CA22E6" w:rsidRDefault="00CA22E6" w:rsidP="00A22A1F">
      <w:pPr>
        <w:numPr>
          <w:ilvl w:val="0"/>
          <w:numId w:val="13"/>
        </w:numPr>
        <w:spacing w:after="0" w:line="240" w:lineRule="auto"/>
        <w:jc w:val="both"/>
        <w:rPr>
          <w:rFonts w:ascii="Times New Roman" w:eastAsia="Times New Roman" w:hAnsi="Times New Roman"/>
          <w:sz w:val="24"/>
          <w:szCs w:val="24"/>
          <w:lang w:eastAsia="fr-FR"/>
        </w:rPr>
      </w:pPr>
      <w:r w:rsidRPr="00CA22E6">
        <w:rPr>
          <w:rFonts w:ascii="Times New Roman" w:eastAsia="Times New Roman" w:hAnsi="Times New Roman"/>
          <w:b/>
          <w:bCs/>
          <w:sz w:val="24"/>
          <w:szCs w:val="24"/>
          <w:lang w:eastAsia="fr-FR"/>
        </w:rPr>
        <w:t>Rapport annuel d’avancement</w:t>
      </w:r>
      <w:r w:rsidRPr="00CA22E6">
        <w:rPr>
          <w:rFonts w:ascii="Times New Roman" w:eastAsia="Times New Roman" w:hAnsi="Times New Roman"/>
          <w:sz w:val="24"/>
          <w:szCs w:val="24"/>
          <w:lang w:eastAsia="fr-FR"/>
        </w:rPr>
        <w:t>.</w:t>
      </w:r>
    </w:p>
    <w:p w14:paraId="4CB181B0" w14:textId="415F79AA" w:rsidR="00496711" w:rsidRPr="00CA22E6" w:rsidRDefault="00496711" w:rsidP="00A22A1F">
      <w:pPr>
        <w:numPr>
          <w:ilvl w:val="0"/>
          <w:numId w:val="13"/>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Sessions du Comité</w:t>
      </w:r>
    </w:p>
    <w:p w14:paraId="6EE8FFFA" w14:textId="77777777" w:rsidR="00CC7F0A" w:rsidRDefault="00CC7F0A" w:rsidP="00CC7F0A">
      <w:pPr>
        <w:spacing w:after="0" w:line="240" w:lineRule="auto"/>
        <w:rPr>
          <w:rFonts w:ascii="Times New Roman" w:eastAsia="Times New Roman" w:hAnsi="Times New Roman"/>
          <w:b/>
          <w:bCs/>
          <w:sz w:val="27"/>
          <w:szCs w:val="27"/>
          <w:lang w:eastAsia="fr-FR"/>
        </w:rPr>
      </w:pPr>
    </w:p>
    <w:p w14:paraId="409E711B" w14:textId="39076F7B" w:rsidR="00CC7F0A" w:rsidRPr="00E856C9" w:rsidRDefault="004E5FBA" w:rsidP="00CC7F0A">
      <w:pPr>
        <w:spacing w:after="0"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8</w:t>
      </w:r>
      <w:r w:rsidR="00CC7F0A" w:rsidRPr="00E856C9">
        <w:rPr>
          <w:rFonts w:ascii="Times New Roman" w:eastAsia="Times New Roman" w:hAnsi="Times New Roman"/>
          <w:b/>
          <w:bCs/>
          <w:sz w:val="27"/>
          <w:szCs w:val="27"/>
          <w:lang w:eastAsia="fr-FR"/>
        </w:rPr>
        <w:t>. Axes de travail du PTA 2025</w:t>
      </w:r>
    </w:p>
    <w:p w14:paraId="74601B66" w14:textId="3ACBCF37" w:rsidR="00CC7F0A" w:rsidRPr="004E5FBA" w:rsidRDefault="00CC7F0A" w:rsidP="00CC7F0A">
      <w:pPr>
        <w:spacing w:after="0" w:line="240" w:lineRule="auto"/>
        <w:jc w:val="both"/>
        <w:rPr>
          <w:rFonts w:ascii="Times New Roman" w:eastAsia="Times New Roman" w:hAnsi="Times New Roman"/>
          <w:sz w:val="24"/>
          <w:szCs w:val="24"/>
          <w:lang w:eastAsia="fr-FR"/>
        </w:rPr>
      </w:pPr>
      <w:r w:rsidRPr="004E5FBA">
        <w:rPr>
          <w:rFonts w:ascii="Times New Roman" w:eastAsia="Times New Roman" w:hAnsi="Times New Roman"/>
          <w:sz w:val="24"/>
          <w:szCs w:val="24"/>
          <w:lang w:eastAsia="fr-FR"/>
        </w:rPr>
        <w:t xml:space="preserve">Le PTA 2025 repose sur une approche systémique intégrant </w:t>
      </w:r>
      <w:r w:rsidR="009C5CFD">
        <w:rPr>
          <w:rFonts w:ascii="Times New Roman" w:eastAsia="Times New Roman" w:hAnsi="Times New Roman"/>
          <w:sz w:val="24"/>
          <w:szCs w:val="24"/>
          <w:lang w:eastAsia="fr-FR"/>
        </w:rPr>
        <w:t>cent une (101)</w:t>
      </w:r>
      <w:r w:rsidR="00574E12">
        <w:rPr>
          <w:rFonts w:ascii="Times New Roman" w:eastAsia="Times New Roman" w:hAnsi="Times New Roman"/>
          <w:sz w:val="24"/>
          <w:szCs w:val="24"/>
          <w:lang w:eastAsia="fr-FR"/>
        </w:rPr>
        <w:t xml:space="preserve"> activités répartis suivant les 03</w:t>
      </w:r>
      <w:r w:rsidRPr="004E5FBA">
        <w:rPr>
          <w:rFonts w:ascii="Times New Roman" w:eastAsia="Times New Roman" w:hAnsi="Times New Roman"/>
          <w:sz w:val="24"/>
          <w:szCs w:val="24"/>
          <w:lang w:eastAsia="fr-FR"/>
        </w:rPr>
        <w:t xml:space="preserve"> axes ci-dessous :</w:t>
      </w:r>
    </w:p>
    <w:p w14:paraId="26081BC8" w14:textId="2E964351" w:rsidR="00CC7F0A" w:rsidRPr="004E5FBA" w:rsidRDefault="0056707C" w:rsidP="00CC7F0A">
      <w:pPr>
        <w:spacing w:after="0" w:line="240" w:lineRule="auto"/>
        <w:jc w:val="both"/>
        <w:rPr>
          <w:rFonts w:ascii="Times New Roman" w:hAnsi="Times New Roman"/>
          <w:bCs/>
          <w:sz w:val="24"/>
          <w:szCs w:val="24"/>
        </w:rPr>
      </w:pPr>
      <w:r>
        <w:rPr>
          <w:rFonts w:ascii="Times New Roman" w:hAnsi="Times New Roman"/>
          <w:b/>
          <w:sz w:val="24"/>
          <w:szCs w:val="24"/>
        </w:rPr>
        <w:t>Axe</w:t>
      </w:r>
      <w:r w:rsidR="00CC7F0A" w:rsidRPr="004E5FBA">
        <w:rPr>
          <w:rFonts w:ascii="Times New Roman" w:hAnsi="Times New Roman"/>
          <w:b/>
          <w:sz w:val="24"/>
          <w:szCs w:val="24"/>
        </w:rPr>
        <w:t xml:space="preserve"> 1 : Renforcement de l’engagement des Parties Prenantes et implication citoyenne au débat public</w:t>
      </w:r>
      <w:r w:rsidR="00BA655E" w:rsidRPr="004E5FBA">
        <w:rPr>
          <w:rFonts w:ascii="Times New Roman" w:hAnsi="Times New Roman"/>
          <w:bCs/>
          <w:sz w:val="24"/>
          <w:szCs w:val="24"/>
        </w:rPr>
        <w:t xml:space="preserve">. Cet axe </w:t>
      </w:r>
      <w:r w:rsidR="004E7E8B" w:rsidRPr="004E5FBA">
        <w:rPr>
          <w:rFonts w:ascii="Times New Roman" w:hAnsi="Times New Roman"/>
          <w:bCs/>
          <w:sz w:val="24"/>
          <w:szCs w:val="24"/>
        </w:rPr>
        <w:t xml:space="preserve">couvre cinq (05) objectifs prioritaires et </w:t>
      </w:r>
      <w:r w:rsidR="00BA655E" w:rsidRPr="004E5FBA">
        <w:rPr>
          <w:rFonts w:ascii="Times New Roman" w:hAnsi="Times New Roman"/>
          <w:bCs/>
          <w:sz w:val="24"/>
          <w:szCs w:val="24"/>
        </w:rPr>
        <w:t xml:space="preserve">comprend </w:t>
      </w:r>
      <w:r w:rsidR="009C5CFD">
        <w:rPr>
          <w:rFonts w:ascii="Times New Roman" w:hAnsi="Times New Roman"/>
          <w:bCs/>
          <w:sz w:val="24"/>
          <w:szCs w:val="24"/>
        </w:rPr>
        <w:t>quarante-trois</w:t>
      </w:r>
      <w:r w:rsidR="00BA655E" w:rsidRPr="004E5FBA">
        <w:rPr>
          <w:rFonts w:ascii="Times New Roman" w:hAnsi="Times New Roman"/>
          <w:bCs/>
          <w:sz w:val="24"/>
          <w:szCs w:val="24"/>
        </w:rPr>
        <w:t xml:space="preserve"> (</w:t>
      </w:r>
      <w:r w:rsidR="009C5CFD">
        <w:rPr>
          <w:rFonts w:ascii="Times New Roman" w:hAnsi="Times New Roman"/>
          <w:bCs/>
          <w:sz w:val="24"/>
          <w:szCs w:val="24"/>
        </w:rPr>
        <w:t>4</w:t>
      </w:r>
      <w:r w:rsidR="00BA655E" w:rsidRPr="004E5FBA">
        <w:rPr>
          <w:rFonts w:ascii="Times New Roman" w:hAnsi="Times New Roman"/>
          <w:bCs/>
          <w:sz w:val="24"/>
          <w:szCs w:val="24"/>
        </w:rPr>
        <w:t>3) activités.</w:t>
      </w:r>
    </w:p>
    <w:p w14:paraId="201E87B9" w14:textId="6643DB95" w:rsidR="00CC7F0A" w:rsidRPr="004E5FBA" w:rsidRDefault="0056707C" w:rsidP="00CC7F0A">
      <w:pPr>
        <w:spacing w:after="0" w:line="240" w:lineRule="auto"/>
        <w:jc w:val="both"/>
        <w:rPr>
          <w:rFonts w:ascii="Times New Roman" w:hAnsi="Times New Roman"/>
          <w:bCs/>
          <w:sz w:val="24"/>
          <w:szCs w:val="24"/>
        </w:rPr>
      </w:pPr>
      <w:r>
        <w:rPr>
          <w:rFonts w:ascii="Times New Roman" w:hAnsi="Times New Roman"/>
          <w:b/>
          <w:sz w:val="24"/>
          <w:szCs w:val="24"/>
        </w:rPr>
        <w:t>Axe</w:t>
      </w:r>
      <w:r w:rsidR="00CC7F0A" w:rsidRPr="004E5FBA">
        <w:rPr>
          <w:rFonts w:ascii="Times New Roman" w:hAnsi="Times New Roman"/>
          <w:b/>
          <w:sz w:val="24"/>
          <w:szCs w:val="24"/>
        </w:rPr>
        <w:t xml:space="preserve"> 2 : Transparence et accès à l’information</w:t>
      </w:r>
      <w:r w:rsidR="00BA655E" w:rsidRPr="004E5FBA">
        <w:rPr>
          <w:rFonts w:ascii="Times New Roman" w:hAnsi="Times New Roman"/>
          <w:b/>
          <w:sz w:val="24"/>
          <w:szCs w:val="24"/>
        </w:rPr>
        <w:t xml:space="preserve">. </w:t>
      </w:r>
      <w:r w:rsidR="00BA655E" w:rsidRPr="004E5FBA">
        <w:rPr>
          <w:rFonts w:ascii="Times New Roman" w:hAnsi="Times New Roman"/>
          <w:bCs/>
          <w:sz w:val="24"/>
          <w:szCs w:val="24"/>
        </w:rPr>
        <w:t>Cet</w:t>
      </w:r>
      <w:r w:rsidR="00BA655E" w:rsidRPr="004E5FBA">
        <w:rPr>
          <w:rFonts w:ascii="Times New Roman" w:hAnsi="Times New Roman"/>
          <w:b/>
          <w:sz w:val="24"/>
          <w:szCs w:val="24"/>
        </w:rPr>
        <w:t xml:space="preserve"> </w:t>
      </w:r>
      <w:r w:rsidR="00BA655E" w:rsidRPr="004E5FBA">
        <w:rPr>
          <w:rFonts w:ascii="Times New Roman" w:hAnsi="Times New Roman"/>
          <w:bCs/>
          <w:sz w:val="24"/>
          <w:szCs w:val="24"/>
        </w:rPr>
        <w:t xml:space="preserve">axe couvre </w:t>
      </w:r>
      <w:r w:rsidR="004E7E8B" w:rsidRPr="004E5FBA">
        <w:rPr>
          <w:rFonts w:ascii="Times New Roman" w:hAnsi="Times New Roman"/>
          <w:bCs/>
          <w:sz w:val="24"/>
          <w:szCs w:val="24"/>
        </w:rPr>
        <w:t>six (</w:t>
      </w:r>
      <w:r w:rsidR="00BA655E" w:rsidRPr="004E5FBA">
        <w:rPr>
          <w:rFonts w:ascii="Times New Roman" w:hAnsi="Times New Roman"/>
          <w:bCs/>
          <w:sz w:val="24"/>
          <w:szCs w:val="24"/>
        </w:rPr>
        <w:t>0</w:t>
      </w:r>
      <w:r w:rsidR="004E7E8B" w:rsidRPr="004E5FBA">
        <w:rPr>
          <w:rFonts w:ascii="Times New Roman" w:hAnsi="Times New Roman"/>
          <w:bCs/>
          <w:sz w:val="24"/>
          <w:szCs w:val="24"/>
        </w:rPr>
        <w:t>6)</w:t>
      </w:r>
      <w:r w:rsidR="00BA655E" w:rsidRPr="004E5FBA">
        <w:rPr>
          <w:rFonts w:ascii="Times New Roman" w:hAnsi="Times New Roman"/>
          <w:bCs/>
          <w:sz w:val="24"/>
          <w:szCs w:val="24"/>
        </w:rPr>
        <w:t xml:space="preserve"> objectifs prioritaires et porte sur </w:t>
      </w:r>
      <w:r w:rsidR="004E7E8B" w:rsidRPr="004E5FBA">
        <w:rPr>
          <w:rFonts w:ascii="Times New Roman" w:hAnsi="Times New Roman"/>
          <w:bCs/>
          <w:sz w:val="24"/>
          <w:szCs w:val="24"/>
        </w:rPr>
        <w:t>trente-cinq</w:t>
      </w:r>
      <w:r w:rsidR="00BA655E" w:rsidRPr="004E5FBA">
        <w:rPr>
          <w:rFonts w:ascii="Times New Roman" w:hAnsi="Times New Roman"/>
          <w:bCs/>
          <w:sz w:val="24"/>
          <w:szCs w:val="24"/>
        </w:rPr>
        <w:t xml:space="preserve"> (</w:t>
      </w:r>
      <w:r w:rsidR="004E7E8B" w:rsidRPr="004E5FBA">
        <w:rPr>
          <w:rFonts w:ascii="Times New Roman" w:hAnsi="Times New Roman"/>
          <w:bCs/>
          <w:sz w:val="24"/>
          <w:szCs w:val="24"/>
        </w:rPr>
        <w:t>35</w:t>
      </w:r>
      <w:r w:rsidR="00BA655E" w:rsidRPr="004E5FBA">
        <w:rPr>
          <w:rFonts w:ascii="Times New Roman" w:hAnsi="Times New Roman"/>
          <w:bCs/>
          <w:sz w:val="24"/>
          <w:szCs w:val="24"/>
        </w:rPr>
        <w:t>) activités.</w:t>
      </w:r>
    </w:p>
    <w:p w14:paraId="4E49834C" w14:textId="27E15E0D" w:rsidR="00CC7F0A" w:rsidRPr="004E5FBA" w:rsidRDefault="0056707C" w:rsidP="00CC7F0A">
      <w:pPr>
        <w:spacing w:after="0" w:line="240" w:lineRule="auto"/>
        <w:jc w:val="both"/>
        <w:rPr>
          <w:rFonts w:ascii="Times New Roman" w:hAnsi="Times New Roman"/>
          <w:b/>
          <w:sz w:val="24"/>
          <w:szCs w:val="24"/>
        </w:rPr>
      </w:pPr>
      <w:r>
        <w:rPr>
          <w:rFonts w:ascii="Times New Roman" w:hAnsi="Times New Roman"/>
          <w:b/>
          <w:sz w:val="24"/>
          <w:szCs w:val="24"/>
        </w:rPr>
        <w:t>Axe</w:t>
      </w:r>
      <w:r w:rsidR="00CC7F0A" w:rsidRPr="004E5FBA">
        <w:rPr>
          <w:rFonts w:ascii="Times New Roman" w:hAnsi="Times New Roman"/>
          <w:b/>
          <w:sz w:val="24"/>
          <w:szCs w:val="24"/>
        </w:rPr>
        <w:t xml:space="preserve"> 3 : Résultats et Impact</w:t>
      </w:r>
      <w:r w:rsidR="004E7E8B" w:rsidRPr="004E5FBA">
        <w:rPr>
          <w:rFonts w:ascii="Times New Roman" w:hAnsi="Times New Roman"/>
          <w:b/>
          <w:sz w:val="24"/>
          <w:szCs w:val="24"/>
        </w:rPr>
        <w:t xml:space="preserve">. </w:t>
      </w:r>
      <w:r w:rsidR="004E7E8B" w:rsidRPr="004E5FBA">
        <w:rPr>
          <w:rFonts w:ascii="Times New Roman" w:hAnsi="Times New Roman"/>
          <w:bCs/>
          <w:sz w:val="24"/>
          <w:szCs w:val="24"/>
        </w:rPr>
        <w:t>Cet</w:t>
      </w:r>
      <w:r w:rsidR="004E7E8B" w:rsidRPr="004E5FBA">
        <w:rPr>
          <w:rFonts w:ascii="Times New Roman" w:hAnsi="Times New Roman"/>
          <w:b/>
          <w:sz w:val="24"/>
          <w:szCs w:val="24"/>
        </w:rPr>
        <w:t xml:space="preserve"> </w:t>
      </w:r>
      <w:r w:rsidR="004E7E8B" w:rsidRPr="004E5FBA">
        <w:rPr>
          <w:rFonts w:ascii="Times New Roman" w:hAnsi="Times New Roman"/>
          <w:bCs/>
          <w:sz w:val="24"/>
          <w:szCs w:val="24"/>
        </w:rPr>
        <w:t xml:space="preserve">axe couvre quatre </w:t>
      </w:r>
      <w:r w:rsidR="00F753D8">
        <w:rPr>
          <w:rFonts w:ascii="Times New Roman" w:hAnsi="Times New Roman"/>
          <w:bCs/>
          <w:sz w:val="24"/>
          <w:szCs w:val="24"/>
        </w:rPr>
        <w:t>(</w:t>
      </w:r>
      <w:r w:rsidR="004E7E8B" w:rsidRPr="004E5FBA">
        <w:rPr>
          <w:rFonts w:ascii="Times New Roman" w:hAnsi="Times New Roman"/>
          <w:bCs/>
          <w:sz w:val="24"/>
          <w:szCs w:val="24"/>
        </w:rPr>
        <w:t>04</w:t>
      </w:r>
      <w:r w:rsidR="00F753D8">
        <w:rPr>
          <w:rFonts w:ascii="Times New Roman" w:hAnsi="Times New Roman"/>
          <w:bCs/>
          <w:sz w:val="24"/>
          <w:szCs w:val="24"/>
        </w:rPr>
        <w:t>)</w:t>
      </w:r>
      <w:r w:rsidR="004E7E8B" w:rsidRPr="004E5FBA">
        <w:rPr>
          <w:rFonts w:ascii="Times New Roman" w:hAnsi="Times New Roman"/>
          <w:bCs/>
          <w:sz w:val="24"/>
          <w:szCs w:val="24"/>
        </w:rPr>
        <w:t xml:space="preserve"> objectifs prioritaires et porte sur vingt-et-</w:t>
      </w:r>
      <w:r w:rsidR="00574E12">
        <w:rPr>
          <w:rFonts w:ascii="Times New Roman" w:hAnsi="Times New Roman"/>
          <w:bCs/>
          <w:sz w:val="24"/>
          <w:szCs w:val="24"/>
        </w:rPr>
        <w:t>trois</w:t>
      </w:r>
      <w:r w:rsidR="004E7E8B" w:rsidRPr="004E5FBA">
        <w:rPr>
          <w:rFonts w:ascii="Times New Roman" w:hAnsi="Times New Roman"/>
          <w:bCs/>
          <w:sz w:val="24"/>
          <w:szCs w:val="24"/>
        </w:rPr>
        <w:t xml:space="preserve"> (2</w:t>
      </w:r>
      <w:r w:rsidR="00574E12">
        <w:rPr>
          <w:rFonts w:ascii="Times New Roman" w:hAnsi="Times New Roman"/>
          <w:bCs/>
          <w:sz w:val="24"/>
          <w:szCs w:val="24"/>
        </w:rPr>
        <w:t>3</w:t>
      </w:r>
      <w:r w:rsidR="004E7E8B" w:rsidRPr="004E5FBA">
        <w:rPr>
          <w:rFonts w:ascii="Times New Roman" w:hAnsi="Times New Roman"/>
          <w:bCs/>
          <w:sz w:val="24"/>
          <w:szCs w:val="24"/>
        </w:rPr>
        <w:t>) activités.</w:t>
      </w:r>
    </w:p>
    <w:p w14:paraId="3ABB5AFD" w14:textId="77777777" w:rsidR="00CC7F0A" w:rsidRDefault="00CC7F0A" w:rsidP="00CC7F0A">
      <w:pPr>
        <w:spacing w:after="0" w:line="240" w:lineRule="auto"/>
        <w:rPr>
          <w:rFonts w:ascii="Times New Roman" w:eastAsia="Times New Roman" w:hAnsi="Times New Roman"/>
          <w:b/>
          <w:bCs/>
          <w:sz w:val="27"/>
          <w:szCs w:val="27"/>
          <w:lang w:eastAsia="fr-FR"/>
        </w:rPr>
      </w:pPr>
    </w:p>
    <w:p w14:paraId="27C55B11" w14:textId="2C53B3BF" w:rsidR="004118B1" w:rsidRPr="004118B1" w:rsidRDefault="004E5FBA" w:rsidP="00CC7F0A">
      <w:pPr>
        <w:spacing w:after="0" w:line="240" w:lineRule="auto"/>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9</w:t>
      </w:r>
      <w:r w:rsidR="004118B1" w:rsidRPr="004118B1">
        <w:rPr>
          <w:rFonts w:ascii="Times New Roman" w:eastAsia="Times New Roman" w:hAnsi="Times New Roman"/>
          <w:b/>
          <w:bCs/>
          <w:sz w:val="27"/>
          <w:szCs w:val="27"/>
          <w:lang w:eastAsia="fr-FR"/>
        </w:rPr>
        <w:t>. Budget du PTA 2025</w:t>
      </w:r>
    </w:p>
    <w:p w14:paraId="09BF4538" w14:textId="36BBCE2E" w:rsidR="004118B1" w:rsidRPr="004118B1" w:rsidRDefault="004118B1" w:rsidP="004118B1">
      <w:pPr>
        <w:spacing w:after="0" w:line="240" w:lineRule="auto"/>
        <w:rPr>
          <w:rFonts w:ascii="Times New Roman" w:hAnsi="Times New Roman"/>
          <w:sz w:val="24"/>
          <w:szCs w:val="24"/>
        </w:rPr>
      </w:pPr>
      <w:r w:rsidRPr="004118B1">
        <w:rPr>
          <w:rFonts w:ascii="Times New Roman" w:hAnsi="Times New Roman"/>
          <w:sz w:val="24"/>
          <w:szCs w:val="24"/>
        </w:rPr>
        <w:t xml:space="preserve">Le financement du PTA 2025 est évalué à </w:t>
      </w:r>
      <w:r w:rsidR="009C5CFD" w:rsidRPr="009C5CFD">
        <w:rPr>
          <w:rFonts w:ascii="Times New Roman" w:hAnsi="Times New Roman"/>
          <w:b/>
          <w:bCs/>
          <w:sz w:val="24"/>
          <w:szCs w:val="24"/>
        </w:rPr>
        <w:t xml:space="preserve">un milliard quatre cent quatre-vingt-quinze millions quatre cent cinquante mille (1 495 450 000) </w:t>
      </w:r>
      <w:r w:rsidRPr="009C5CFD">
        <w:rPr>
          <w:rFonts w:ascii="Times New Roman" w:hAnsi="Times New Roman"/>
          <w:b/>
          <w:bCs/>
          <w:sz w:val="24"/>
          <w:szCs w:val="24"/>
        </w:rPr>
        <w:t>FCFA</w:t>
      </w:r>
      <w:r w:rsidRPr="004118B1">
        <w:rPr>
          <w:rFonts w:ascii="Times New Roman" w:hAnsi="Times New Roman"/>
          <w:sz w:val="24"/>
          <w:szCs w:val="24"/>
        </w:rPr>
        <w:t xml:space="preserve"> réparti ainsi qu’il suit par Axe du PTA 2025.</w:t>
      </w:r>
    </w:p>
    <w:tbl>
      <w:tblPr>
        <w:tblStyle w:val="Grilledutableau"/>
        <w:tblW w:w="0" w:type="auto"/>
        <w:tblLook w:val="04A0" w:firstRow="1" w:lastRow="0" w:firstColumn="1" w:lastColumn="0" w:noHBand="0" w:noVBand="1"/>
      </w:tblPr>
      <w:tblGrid>
        <w:gridCol w:w="4672"/>
        <w:gridCol w:w="4674"/>
      </w:tblGrid>
      <w:tr w:rsidR="007826C4" w:rsidRPr="007826C4" w14:paraId="2D8C353D" w14:textId="77777777" w:rsidTr="007826C4">
        <w:tc>
          <w:tcPr>
            <w:tcW w:w="4765" w:type="dxa"/>
          </w:tcPr>
          <w:p w14:paraId="489284E8" w14:textId="7F086443" w:rsidR="007826C4" w:rsidRPr="007826C4" w:rsidRDefault="007826C4" w:rsidP="007826C4">
            <w:pPr>
              <w:spacing w:after="0" w:line="240" w:lineRule="auto"/>
              <w:jc w:val="center"/>
              <w:rPr>
                <w:rFonts w:ascii="Times New Roman" w:hAnsi="Times New Roman"/>
                <w:b/>
                <w:bCs/>
                <w:sz w:val="24"/>
                <w:szCs w:val="24"/>
                <w:u w:val="single"/>
              </w:rPr>
            </w:pPr>
            <w:r w:rsidRPr="007826C4">
              <w:rPr>
                <w:rFonts w:ascii="Times New Roman" w:hAnsi="Times New Roman"/>
                <w:b/>
                <w:bCs/>
                <w:sz w:val="24"/>
                <w:szCs w:val="24"/>
                <w:u w:val="single"/>
              </w:rPr>
              <w:t>Axe du PTA 2025</w:t>
            </w:r>
          </w:p>
        </w:tc>
        <w:tc>
          <w:tcPr>
            <w:tcW w:w="4765" w:type="dxa"/>
          </w:tcPr>
          <w:p w14:paraId="3801865B" w14:textId="5A8249A2" w:rsidR="007826C4" w:rsidRPr="007826C4" w:rsidRDefault="007826C4" w:rsidP="007826C4">
            <w:pPr>
              <w:spacing w:after="0" w:line="240" w:lineRule="auto"/>
              <w:jc w:val="center"/>
              <w:rPr>
                <w:rFonts w:ascii="Times New Roman" w:hAnsi="Times New Roman"/>
                <w:b/>
                <w:bCs/>
                <w:sz w:val="24"/>
                <w:szCs w:val="24"/>
                <w:u w:val="single"/>
              </w:rPr>
            </w:pPr>
            <w:r w:rsidRPr="007826C4">
              <w:rPr>
                <w:rFonts w:ascii="Times New Roman" w:hAnsi="Times New Roman"/>
                <w:b/>
                <w:bCs/>
                <w:sz w:val="24"/>
                <w:szCs w:val="24"/>
                <w:u w:val="single"/>
              </w:rPr>
              <w:t>Montant de financement (FCFA)</w:t>
            </w:r>
          </w:p>
        </w:tc>
      </w:tr>
      <w:tr w:rsidR="007826C4" w14:paraId="2622FE27" w14:textId="77777777" w:rsidTr="007826C4">
        <w:tc>
          <w:tcPr>
            <w:tcW w:w="4765" w:type="dxa"/>
          </w:tcPr>
          <w:p w14:paraId="76E33960" w14:textId="09A8AE4C" w:rsidR="007826C4" w:rsidRPr="007826C4" w:rsidRDefault="007826C4" w:rsidP="007826C4">
            <w:pPr>
              <w:tabs>
                <w:tab w:val="left" w:pos="3630"/>
              </w:tabs>
              <w:spacing w:after="0" w:line="240" w:lineRule="auto"/>
              <w:rPr>
                <w:rFonts w:ascii="Times New Roman" w:hAnsi="Times New Roman"/>
              </w:rPr>
            </w:pPr>
            <w:r w:rsidRPr="007826C4">
              <w:rPr>
                <w:rFonts w:ascii="Times New Roman" w:hAnsi="Times New Roman"/>
                <w:u w:val="single"/>
              </w:rPr>
              <w:t>Axe 1</w:t>
            </w:r>
            <w:r w:rsidRPr="007826C4">
              <w:rPr>
                <w:rFonts w:ascii="Times New Roman" w:hAnsi="Times New Roman"/>
              </w:rPr>
              <w:t xml:space="preserve"> : </w:t>
            </w:r>
            <w:r>
              <w:rPr>
                <w:rFonts w:ascii="Times New Roman" w:hAnsi="Times New Roman"/>
              </w:rPr>
              <w:t>M</w:t>
            </w:r>
            <w:r w:rsidRPr="007826C4">
              <w:rPr>
                <w:rFonts w:ascii="Times New Roman" w:hAnsi="Times New Roman"/>
              </w:rPr>
              <w:t>obilisation renforcée des parties prenantes impliquées dans le suivi de l’</w:t>
            </w:r>
            <w:r>
              <w:rPr>
                <w:rFonts w:ascii="Times New Roman" w:hAnsi="Times New Roman"/>
              </w:rPr>
              <w:t>ITIE</w:t>
            </w:r>
            <w:r w:rsidRPr="007826C4">
              <w:rPr>
                <w:rFonts w:ascii="Times New Roman" w:hAnsi="Times New Roman"/>
              </w:rPr>
              <w:t xml:space="preserve"> au </w:t>
            </w:r>
            <w:r>
              <w:rPr>
                <w:rFonts w:ascii="Times New Roman" w:hAnsi="Times New Roman"/>
              </w:rPr>
              <w:t>C</w:t>
            </w:r>
            <w:r w:rsidRPr="007826C4">
              <w:rPr>
                <w:rFonts w:ascii="Times New Roman" w:hAnsi="Times New Roman"/>
              </w:rPr>
              <w:t>ameroun</w:t>
            </w:r>
            <w:r>
              <w:rPr>
                <w:rFonts w:ascii="Times New Roman" w:hAnsi="Times New Roman"/>
              </w:rPr>
              <w:t xml:space="preserve"> [Exigences 1.1, 1.2, 1.3 et 1.4]</w:t>
            </w:r>
          </w:p>
        </w:tc>
        <w:tc>
          <w:tcPr>
            <w:tcW w:w="4765" w:type="dxa"/>
          </w:tcPr>
          <w:p w14:paraId="061D1E60" w14:textId="1872CF9B" w:rsidR="007826C4" w:rsidRDefault="009C5CFD" w:rsidP="009C5CFD">
            <w:pPr>
              <w:spacing w:after="0" w:line="240" w:lineRule="auto"/>
              <w:jc w:val="right"/>
              <w:rPr>
                <w:rFonts w:ascii="Times New Roman" w:hAnsi="Times New Roman"/>
                <w:sz w:val="24"/>
                <w:szCs w:val="24"/>
              </w:rPr>
            </w:pPr>
            <w:r>
              <w:rPr>
                <w:rFonts w:ascii="Times New Roman" w:hAnsi="Times New Roman"/>
                <w:sz w:val="24"/>
                <w:szCs w:val="24"/>
              </w:rPr>
              <w:t>967 450 000</w:t>
            </w:r>
          </w:p>
        </w:tc>
      </w:tr>
      <w:tr w:rsidR="007826C4" w14:paraId="6F57FE39" w14:textId="77777777" w:rsidTr="007826C4">
        <w:tc>
          <w:tcPr>
            <w:tcW w:w="4765" w:type="dxa"/>
          </w:tcPr>
          <w:p w14:paraId="277CD744" w14:textId="0BB15CC0" w:rsidR="007826C4" w:rsidRPr="007826C4" w:rsidRDefault="007826C4" w:rsidP="007826C4">
            <w:pPr>
              <w:spacing w:after="0" w:line="240" w:lineRule="auto"/>
              <w:rPr>
                <w:rFonts w:ascii="Times New Roman" w:hAnsi="Times New Roman"/>
              </w:rPr>
            </w:pPr>
            <w:r w:rsidRPr="007826C4">
              <w:rPr>
                <w:rFonts w:ascii="Times New Roman" w:hAnsi="Times New Roman"/>
                <w:u w:val="single"/>
              </w:rPr>
              <w:t>Axe 2</w:t>
            </w:r>
            <w:r w:rsidRPr="007826C4">
              <w:rPr>
                <w:rFonts w:ascii="Times New Roman" w:hAnsi="Times New Roman"/>
              </w:rPr>
              <w:t xml:space="preserve"> : </w:t>
            </w:r>
            <w:r>
              <w:rPr>
                <w:rFonts w:ascii="Times New Roman" w:hAnsi="Times New Roman"/>
              </w:rPr>
              <w:t>T</w:t>
            </w:r>
            <w:r w:rsidRPr="007826C4">
              <w:rPr>
                <w:rFonts w:ascii="Times New Roman" w:hAnsi="Times New Roman"/>
              </w:rPr>
              <w:t xml:space="preserve">ransparence et accès </w:t>
            </w:r>
            <w:r>
              <w:rPr>
                <w:rFonts w:ascii="Times New Roman" w:hAnsi="Times New Roman"/>
              </w:rPr>
              <w:t>à</w:t>
            </w:r>
            <w:r w:rsidRPr="007826C4">
              <w:rPr>
                <w:rFonts w:ascii="Times New Roman" w:hAnsi="Times New Roman"/>
              </w:rPr>
              <w:t xml:space="preserve"> l’information [</w:t>
            </w:r>
            <w:r>
              <w:rPr>
                <w:rFonts w:ascii="Times New Roman" w:hAnsi="Times New Roman"/>
              </w:rPr>
              <w:t>E</w:t>
            </w:r>
            <w:r w:rsidRPr="007826C4">
              <w:rPr>
                <w:rFonts w:ascii="Times New Roman" w:hAnsi="Times New Roman"/>
              </w:rPr>
              <w:t>xigence</w:t>
            </w:r>
            <w:r>
              <w:rPr>
                <w:rFonts w:ascii="Times New Roman" w:hAnsi="Times New Roman"/>
              </w:rPr>
              <w:t>s</w:t>
            </w:r>
            <w:r w:rsidRPr="007826C4">
              <w:rPr>
                <w:rFonts w:ascii="Times New Roman" w:hAnsi="Times New Roman"/>
              </w:rPr>
              <w:t xml:space="preserve"> 2 à 6]</w:t>
            </w:r>
          </w:p>
        </w:tc>
        <w:tc>
          <w:tcPr>
            <w:tcW w:w="4765" w:type="dxa"/>
          </w:tcPr>
          <w:p w14:paraId="7B5B0EE9" w14:textId="56829097" w:rsidR="007826C4" w:rsidRDefault="009C5CFD" w:rsidP="009C5CFD">
            <w:pPr>
              <w:spacing w:after="0" w:line="240" w:lineRule="auto"/>
              <w:jc w:val="right"/>
              <w:rPr>
                <w:rFonts w:ascii="Times New Roman" w:hAnsi="Times New Roman"/>
                <w:sz w:val="24"/>
                <w:szCs w:val="24"/>
              </w:rPr>
            </w:pPr>
            <w:r>
              <w:rPr>
                <w:rFonts w:ascii="Times New Roman" w:hAnsi="Times New Roman"/>
                <w:sz w:val="24"/>
                <w:szCs w:val="24"/>
              </w:rPr>
              <w:t>440 000 000</w:t>
            </w:r>
          </w:p>
        </w:tc>
      </w:tr>
      <w:tr w:rsidR="007826C4" w14:paraId="2EFDB09D" w14:textId="77777777" w:rsidTr="007826C4">
        <w:tc>
          <w:tcPr>
            <w:tcW w:w="4765" w:type="dxa"/>
          </w:tcPr>
          <w:p w14:paraId="1DC0BB08" w14:textId="6E07EECF" w:rsidR="007826C4" w:rsidRPr="007826C4" w:rsidRDefault="007826C4" w:rsidP="007826C4">
            <w:pPr>
              <w:spacing w:after="0" w:line="240" w:lineRule="auto"/>
              <w:rPr>
                <w:rFonts w:ascii="Times New Roman" w:hAnsi="Times New Roman"/>
              </w:rPr>
            </w:pPr>
            <w:r w:rsidRPr="007826C4">
              <w:rPr>
                <w:rFonts w:ascii="Times New Roman" w:hAnsi="Times New Roman"/>
                <w:u w:val="single"/>
              </w:rPr>
              <w:t>Axe 3</w:t>
            </w:r>
            <w:r w:rsidRPr="007826C4">
              <w:rPr>
                <w:rFonts w:ascii="Times New Roman" w:hAnsi="Times New Roman"/>
              </w:rPr>
              <w:t xml:space="preserve"> : </w:t>
            </w:r>
            <w:r>
              <w:rPr>
                <w:rFonts w:ascii="Times New Roman" w:hAnsi="Times New Roman"/>
              </w:rPr>
              <w:t>Ré</w:t>
            </w:r>
            <w:r w:rsidRPr="007826C4">
              <w:rPr>
                <w:rFonts w:ascii="Times New Roman" w:hAnsi="Times New Roman"/>
              </w:rPr>
              <w:t>sultats et impact [</w:t>
            </w:r>
            <w:r>
              <w:rPr>
                <w:rFonts w:ascii="Times New Roman" w:hAnsi="Times New Roman"/>
              </w:rPr>
              <w:t>E</w:t>
            </w:r>
            <w:r w:rsidRPr="007826C4">
              <w:rPr>
                <w:rFonts w:ascii="Times New Roman" w:hAnsi="Times New Roman"/>
              </w:rPr>
              <w:t>xigence</w:t>
            </w:r>
            <w:r>
              <w:rPr>
                <w:rFonts w:ascii="Times New Roman" w:hAnsi="Times New Roman"/>
              </w:rPr>
              <w:t>s 1.5 et</w:t>
            </w:r>
            <w:r w:rsidRPr="007826C4">
              <w:rPr>
                <w:rFonts w:ascii="Times New Roman" w:hAnsi="Times New Roman"/>
              </w:rPr>
              <w:t xml:space="preserve"> 7]</w:t>
            </w:r>
          </w:p>
        </w:tc>
        <w:tc>
          <w:tcPr>
            <w:tcW w:w="4765" w:type="dxa"/>
          </w:tcPr>
          <w:p w14:paraId="05D3F229" w14:textId="1B5766C8" w:rsidR="007826C4" w:rsidRDefault="009C5CFD" w:rsidP="009C5CFD">
            <w:pPr>
              <w:spacing w:after="0" w:line="240" w:lineRule="auto"/>
              <w:jc w:val="right"/>
              <w:rPr>
                <w:rFonts w:ascii="Times New Roman" w:hAnsi="Times New Roman"/>
                <w:sz w:val="24"/>
                <w:szCs w:val="24"/>
              </w:rPr>
            </w:pPr>
            <w:r>
              <w:rPr>
                <w:rFonts w:ascii="Times New Roman" w:hAnsi="Times New Roman"/>
                <w:sz w:val="24"/>
                <w:szCs w:val="24"/>
              </w:rPr>
              <w:t>88 000 000</w:t>
            </w:r>
          </w:p>
        </w:tc>
      </w:tr>
      <w:tr w:rsidR="007826C4" w14:paraId="1BA2FF67" w14:textId="77777777" w:rsidTr="007826C4">
        <w:tc>
          <w:tcPr>
            <w:tcW w:w="4765" w:type="dxa"/>
          </w:tcPr>
          <w:p w14:paraId="556D46D5" w14:textId="490A4AFD" w:rsidR="007826C4" w:rsidRPr="00D52441" w:rsidRDefault="007826C4" w:rsidP="00D52441">
            <w:pPr>
              <w:spacing w:after="0" w:line="240" w:lineRule="auto"/>
              <w:jc w:val="center"/>
              <w:rPr>
                <w:rFonts w:ascii="Times New Roman" w:hAnsi="Times New Roman"/>
                <w:b/>
                <w:bCs/>
                <w:sz w:val="24"/>
                <w:szCs w:val="24"/>
                <w:u w:val="single"/>
              </w:rPr>
            </w:pPr>
            <w:r w:rsidRPr="00D52441">
              <w:rPr>
                <w:rFonts w:ascii="Times New Roman" w:hAnsi="Times New Roman"/>
                <w:b/>
                <w:bCs/>
                <w:sz w:val="24"/>
                <w:szCs w:val="24"/>
                <w:u w:val="single"/>
              </w:rPr>
              <w:t>TOTAL</w:t>
            </w:r>
          </w:p>
        </w:tc>
        <w:tc>
          <w:tcPr>
            <w:tcW w:w="4765" w:type="dxa"/>
          </w:tcPr>
          <w:p w14:paraId="5C434460" w14:textId="69CAC3BF" w:rsidR="007826C4" w:rsidRPr="009C5CFD" w:rsidRDefault="009C5CFD" w:rsidP="009C5CFD">
            <w:pPr>
              <w:spacing w:after="0" w:line="240" w:lineRule="auto"/>
              <w:jc w:val="right"/>
              <w:rPr>
                <w:rFonts w:ascii="Times New Roman" w:hAnsi="Times New Roman"/>
                <w:b/>
                <w:bCs/>
                <w:sz w:val="24"/>
                <w:szCs w:val="24"/>
              </w:rPr>
            </w:pPr>
            <w:r w:rsidRPr="009C5CFD">
              <w:rPr>
                <w:rFonts w:ascii="Times New Roman" w:hAnsi="Times New Roman"/>
                <w:b/>
                <w:bCs/>
                <w:sz w:val="24"/>
                <w:szCs w:val="24"/>
              </w:rPr>
              <w:t>1 495 450 000</w:t>
            </w:r>
          </w:p>
        </w:tc>
      </w:tr>
    </w:tbl>
    <w:p w14:paraId="50BBA1D0" w14:textId="5DE1960C" w:rsidR="004118B1" w:rsidRDefault="004118B1" w:rsidP="004118B1">
      <w:pPr>
        <w:spacing w:after="0" w:line="240" w:lineRule="auto"/>
        <w:rPr>
          <w:rFonts w:ascii="Times New Roman" w:hAnsi="Times New Roman"/>
          <w:sz w:val="24"/>
          <w:szCs w:val="24"/>
        </w:rPr>
      </w:pPr>
    </w:p>
    <w:p w14:paraId="3246344F" w14:textId="3B08FFE5" w:rsidR="009C5CFD" w:rsidRDefault="009C5CFD" w:rsidP="00B72E2C">
      <w:pPr>
        <w:pStyle w:val="Paragraphedeliste"/>
        <w:numPr>
          <w:ilvl w:val="0"/>
          <w:numId w:val="13"/>
        </w:numPr>
        <w:spacing w:after="0" w:line="240" w:lineRule="auto"/>
        <w:jc w:val="both"/>
        <w:rPr>
          <w:rFonts w:ascii="Times New Roman" w:hAnsi="Times New Roman"/>
          <w:sz w:val="24"/>
          <w:szCs w:val="24"/>
        </w:rPr>
      </w:pPr>
      <w:r w:rsidRPr="009C5CFD">
        <w:rPr>
          <w:rFonts w:ascii="Times New Roman" w:hAnsi="Times New Roman"/>
          <w:sz w:val="24"/>
          <w:szCs w:val="24"/>
        </w:rPr>
        <w:t>L’Axe 01 est celui qui dispose d’un budget élevé notamment du fait de la prise en compte de la régularisation des arriérés de paiement dus aux prestataires de service (ENERTEAM, ASSIFE) ainsi qu’aux personnels ITIE en service</w:t>
      </w:r>
      <w:r>
        <w:rPr>
          <w:rFonts w:ascii="Times New Roman" w:hAnsi="Times New Roman"/>
          <w:sz w:val="24"/>
          <w:szCs w:val="24"/>
        </w:rPr>
        <w:t> ;</w:t>
      </w:r>
    </w:p>
    <w:p w14:paraId="634DCB55" w14:textId="72C307A4" w:rsidR="009C5CFD" w:rsidRDefault="009C5CFD" w:rsidP="00B72E2C">
      <w:pPr>
        <w:pStyle w:val="Paragraphedeliste"/>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Le budget de l’axe 02 est significativement marqué par les honoraires du cabinet ENERTEAM </w:t>
      </w:r>
      <w:r w:rsidR="00B72E2C">
        <w:rPr>
          <w:rFonts w:ascii="Times New Roman" w:hAnsi="Times New Roman"/>
          <w:sz w:val="24"/>
          <w:szCs w:val="24"/>
        </w:rPr>
        <w:t>dans le cadre de la réalisation des Rapports ITIE 2022 et 2023 en 2025</w:t>
      </w:r>
    </w:p>
    <w:p w14:paraId="3F090827" w14:textId="32822C70" w:rsidR="00B72E2C" w:rsidRDefault="00B72E2C" w:rsidP="00B72E2C">
      <w:pPr>
        <w:pStyle w:val="Paragraphedeliste"/>
        <w:numPr>
          <w:ilvl w:val="0"/>
          <w:numId w:val="13"/>
        </w:numPr>
        <w:spacing w:after="0" w:line="240" w:lineRule="auto"/>
        <w:jc w:val="both"/>
        <w:rPr>
          <w:rFonts w:ascii="Times New Roman" w:hAnsi="Times New Roman"/>
          <w:sz w:val="24"/>
          <w:szCs w:val="24"/>
        </w:rPr>
      </w:pPr>
      <w:r>
        <w:rPr>
          <w:rFonts w:ascii="Times New Roman" w:hAnsi="Times New Roman"/>
          <w:sz w:val="24"/>
          <w:szCs w:val="24"/>
        </w:rPr>
        <w:t>Sous réserve des ajustements qui pourraient intervenir du fait de l’actualisation de la Stratégie Nationale de Communication du Comité ITIE, le budget de l’axe est estimé à 88 000 000 Fcfa.</w:t>
      </w:r>
    </w:p>
    <w:p w14:paraId="46EF855A" w14:textId="470AE54D" w:rsidR="00B72E2C" w:rsidRDefault="00B72E2C" w:rsidP="00B72E2C">
      <w:pPr>
        <w:spacing w:after="0" w:line="240" w:lineRule="auto"/>
        <w:jc w:val="both"/>
        <w:rPr>
          <w:rFonts w:ascii="Times New Roman" w:hAnsi="Times New Roman"/>
          <w:sz w:val="24"/>
          <w:szCs w:val="24"/>
        </w:rPr>
      </w:pPr>
      <w:r>
        <w:rPr>
          <w:rFonts w:ascii="Times New Roman" w:hAnsi="Times New Roman"/>
          <w:sz w:val="24"/>
          <w:szCs w:val="24"/>
        </w:rPr>
        <w:lastRenderedPageBreak/>
        <w:t>Par ailleurs, il faudrait noter que ce budget qui est en effet prévisionnel, pourrait connaitre des ajustements que le Comité devra en tout été de cause préalablement adoptée à la lumière du Plan de mise en œuvre des mesures correctives de la précédente Validation.</w:t>
      </w:r>
    </w:p>
    <w:p w14:paraId="77A14FA1" w14:textId="77777777" w:rsidR="00B72E2C" w:rsidRPr="00B72E2C" w:rsidRDefault="00B72E2C" w:rsidP="00B72E2C">
      <w:pPr>
        <w:spacing w:after="0" w:line="240" w:lineRule="auto"/>
        <w:rPr>
          <w:rFonts w:ascii="Times New Roman" w:hAnsi="Times New Roman"/>
          <w:sz w:val="24"/>
          <w:szCs w:val="24"/>
        </w:rPr>
      </w:pPr>
    </w:p>
    <w:p w14:paraId="6A60DD57" w14:textId="0A5FB826" w:rsidR="004118B1" w:rsidRPr="004118B1" w:rsidRDefault="004118B1" w:rsidP="00C118E6">
      <w:pPr>
        <w:spacing w:after="0" w:line="240" w:lineRule="auto"/>
        <w:jc w:val="both"/>
        <w:rPr>
          <w:rFonts w:ascii="Times New Roman" w:hAnsi="Times New Roman"/>
          <w:sz w:val="24"/>
          <w:szCs w:val="24"/>
        </w:rPr>
      </w:pPr>
      <w:r w:rsidRPr="004118B1">
        <w:rPr>
          <w:rFonts w:ascii="Times New Roman" w:hAnsi="Times New Roman"/>
          <w:sz w:val="24"/>
          <w:szCs w:val="24"/>
        </w:rPr>
        <w:t>La principale source de financement du PTA 2025 est la dotation du Ministère des Finances, tutelle administrative et financière du Comité.</w:t>
      </w:r>
      <w:r w:rsidR="00C118E6">
        <w:rPr>
          <w:rFonts w:ascii="Times New Roman" w:hAnsi="Times New Roman"/>
          <w:sz w:val="24"/>
          <w:szCs w:val="24"/>
        </w:rPr>
        <w:t xml:space="preserve"> Toutefois, le Comité ITIE se réserve le droit de recourir à des financements complémentaires auprès des partenaires au suivi de la mise en œuvre de l’ITIE au Cameroun.</w:t>
      </w:r>
    </w:p>
    <w:p w14:paraId="26D5B9AB" w14:textId="4AD2E746" w:rsidR="00CC7F0A" w:rsidRPr="00E856C9" w:rsidRDefault="004E5FBA" w:rsidP="00CC7F0A">
      <w:pPr>
        <w:spacing w:before="100" w:beforeAutospacing="1" w:after="0" w:line="240" w:lineRule="auto"/>
        <w:outlineLvl w:val="2"/>
        <w:rPr>
          <w:rFonts w:ascii="Times New Roman" w:eastAsia="Times New Roman" w:hAnsi="Times New Roman"/>
          <w:b/>
          <w:bCs/>
          <w:sz w:val="27"/>
          <w:szCs w:val="27"/>
          <w:lang w:eastAsia="fr-FR"/>
        </w:rPr>
      </w:pPr>
      <w:r>
        <w:rPr>
          <w:rFonts w:ascii="Times New Roman" w:eastAsia="Times New Roman" w:hAnsi="Times New Roman"/>
          <w:b/>
          <w:bCs/>
          <w:sz w:val="27"/>
          <w:szCs w:val="27"/>
          <w:lang w:eastAsia="fr-FR"/>
        </w:rPr>
        <w:t>10</w:t>
      </w:r>
      <w:r w:rsidR="00CC7F0A" w:rsidRPr="00E856C9">
        <w:rPr>
          <w:rFonts w:ascii="Times New Roman" w:eastAsia="Times New Roman" w:hAnsi="Times New Roman"/>
          <w:b/>
          <w:bCs/>
          <w:sz w:val="27"/>
          <w:szCs w:val="27"/>
          <w:lang w:eastAsia="fr-FR"/>
        </w:rPr>
        <w:t>. Analyse des risques</w:t>
      </w:r>
    </w:p>
    <w:p w14:paraId="7040ADAF" w14:textId="77777777" w:rsidR="00CC7F0A" w:rsidRPr="00110E92" w:rsidRDefault="00CC7F0A" w:rsidP="00CC7F0A">
      <w:pPr>
        <w:spacing w:after="0" w:line="240" w:lineRule="auto"/>
        <w:jc w:val="both"/>
        <w:rPr>
          <w:rFonts w:ascii="Times New Roman" w:eastAsia="Times New Roman" w:hAnsi="Times New Roman"/>
          <w:sz w:val="24"/>
          <w:szCs w:val="24"/>
          <w:lang w:eastAsia="fr-FR"/>
        </w:rPr>
      </w:pPr>
      <w:r w:rsidRPr="00110E92">
        <w:rPr>
          <w:rFonts w:ascii="Times New Roman" w:eastAsia="Times New Roman" w:hAnsi="Times New Roman"/>
          <w:sz w:val="24"/>
          <w:szCs w:val="24"/>
          <w:lang w:eastAsia="fr-FR"/>
        </w:rPr>
        <w:t>L’implémentation du PTA 2025 pourrait être affectée par plusieurs risques :</w:t>
      </w:r>
    </w:p>
    <w:p w14:paraId="7C54073C" w14:textId="77777777" w:rsidR="00CC7F0A" w:rsidRPr="00110E92" w:rsidRDefault="00CC7F0A" w:rsidP="00CC7F0A">
      <w:pPr>
        <w:numPr>
          <w:ilvl w:val="0"/>
          <w:numId w:val="14"/>
        </w:numPr>
        <w:spacing w:after="0" w:line="240" w:lineRule="auto"/>
        <w:jc w:val="both"/>
        <w:rPr>
          <w:rFonts w:ascii="Times New Roman" w:eastAsia="Times New Roman" w:hAnsi="Times New Roman"/>
          <w:sz w:val="24"/>
          <w:szCs w:val="24"/>
          <w:lang w:eastAsia="fr-FR"/>
        </w:rPr>
      </w:pPr>
      <w:r w:rsidRPr="00110E92">
        <w:rPr>
          <w:rFonts w:ascii="Times New Roman" w:eastAsia="Times New Roman" w:hAnsi="Times New Roman"/>
          <w:b/>
          <w:bCs/>
          <w:sz w:val="24"/>
          <w:szCs w:val="24"/>
          <w:lang w:eastAsia="fr-FR"/>
        </w:rPr>
        <w:t>Sous-effectif du Secrétariat Permanent</w:t>
      </w:r>
      <w:r w:rsidRPr="00110E92">
        <w:rPr>
          <w:rFonts w:ascii="Times New Roman" w:eastAsia="Times New Roman" w:hAnsi="Times New Roman"/>
          <w:sz w:val="24"/>
          <w:szCs w:val="24"/>
          <w:lang w:eastAsia="fr-FR"/>
        </w:rPr>
        <w:t xml:space="preserve"> : Nécessité de recruter du personnel additionnel.</w:t>
      </w:r>
    </w:p>
    <w:p w14:paraId="3EA681F5" w14:textId="77777777" w:rsidR="00CC7F0A" w:rsidRPr="00110E92" w:rsidRDefault="00CC7F0A" w:rsidP="00CC7F0A">
      <w:pPr>
        <w:numPr>
          <w:ilvl w:val="0"/>
          <w:numId w:val="14"/>
        </w:numPr>
        <w:spacing w:after="0" w:line="240" w:lineRule="auto"/>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Contraintes en matière de d</w:t>
      </w:r>
      <w:r w:rsidRPr="00110E92">
        <w:rPr>
          <w:rFonts w:ascii="Times New Roman" w:eastAsia="Times New Roman" w:hAnsi="Times New Roman"/>
          <w:b/>
          <w:bCs/>
          <w:sz w:val="24"/>
          <w:szCs w:val="24"/>
          <w:lang w:eastAsia="fr-FR"/>
        </w:rPr>
        <w:t>otation budgétaire</w:t>
      </w:r>
      <w:r w:rsidRPr="00110E92">
        <w:rPr>
          <w:rFonts w:ascii="Times New Roman" w:eastAsia="Times New Roman" w:hAnsi="Times New Roman"/>
          <w:sz w:val="24"/>
          <w:szCs w:val="24"/>
          <w:lang w:eastAsia="fr-FR"/>
        </w:rPr>
        <w:t xml:space="preserve"> : Disponibilité et allocation des ressources financières par le MINFI.</w:t>
      </w:r>
    </w:p>
    <w:p w14:paraId="48DECFC6" w14:textId="5459D97A" w:rsidR="00CC7F0A" w:rsidRDefault="00CC7F0A" w:rsidP="00A570D7">
      <w:pPr>
        <w:numPr>
          <w:ilvl w:val="0"/>
          <w:numId w:val="14"/>
        </w:numPr>
        <w:spacing w:after="0" w:line="240" w:lineRule="auto"/>
        <w:jc w:val="both"/>
        <w:rPr>
          <w:rFonts w:ascii="Times New Roman" w:eastAsia="Times New Roman" w:hAnsi="Times New Roman"/>
          <w:sz w:val="24"/>
          <w:szCs w:val="24"/>
          <w:lang w:eastAsia="fr-FR"/>
        </w:rPr>
      </w:pPr>
      <w:r w:rsidRPr="00110E92">
        <w:rPr>
          <w:rFonts w:ascii="Times New Roman" w:eastAsia="Times New Roman" w:hAnsi="Times New Roman"/>
          <w:b/>
          <w:bCs/>
          <w:sz w:val="24"/>
          <w:szCs w:val="24"/>
          <w:lang w:eastAsia="fr-FR"/>
        </w:rPr>
        <w:t>Contraintes organisationnelles</w:t>
      </w:r>
      <w:r w:rsidRPr="00110E92">
        <w:rPr>
          <w:rFonts w:ascii="Times New Roman" w:eastAsia="Times New Roman" w:hAnsi="Times New Roman"/>
          <w:sz w:val="24"/>
          <w:szCs w:val="24"/>
          <w:lang w:eastAsia="fr-FR"/>
        </w:rPr>
        <w:t xml:space="preserve"> : Coordination et implication effective des parties prenantes.</w:t>
      </w:r>
    </w:p>
    <w:p w14:paraId="11DC8CA7" w14:textId="4C7A118F" w:rsidR="00C118E6" w:rsidRDefault="00C118E6" w:rsidP="00A570D7">
      <w:pPr>
        <w:spacing w:after="0" w:line="240" w:lineRule="auto"/>
        <w:jc w:val="both"/>
        <w:rPr>
          <w:rFonts w:ascii="Times New Roman" w:eastAsia="Times New Roman" w:hAnsi="Times New Roman"/>
          <w:b/>
          <w:bCs/>
          <w:sz w:val="24"/>
          <w:szCs w:val="24"/>
          <w:lang w:eastAsia="fr-FR"/>
        </w:rPr>
      </w:pPr>
    </w:p>
    <w:p w14:paraId="15F8F42A" w14:textId="53492AA3" w:rsidR="00A570D7" w:rsidRDefault="00A570D7" w:rsidP="00A570D7">
      <w:pPr>
        <w:spacing w:after="0" w:line="240" w:lineRule="auto"/>
        <w:jc w:val="both"/>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11. Pièce jointe</w:t>
      </w:r>
    </w:p>
    <w:p w14:paraId="36B05A00" w14:textId="26762B01" w:rsidR="00A570D7" w:rsidRPr="00A570D7" w:rsidRDefault="00A570D7" w:rsidP="00A570D7">
      <w:pPr>
        <w:spacing w:after="0" w:line="240" w:lineRule="auto"/>
        <w:jc w:val="both"/>
        <w:rPr>
          <w:rFonts w:ascii="Times New Roman" w:eastAsia="Times New Roman" w:hAnsi="Times New Roman"/>
          <w:sz w:val="24"/>
          <w:szCs w:val="24"/>
          <w:lang w:eastAsia="fr-FR"/>
        </w:rPr>
      </w:pPr>
      <w:r w:rsidRPr="00A570D7">
        <w:rPr>
          <w:rFonts w:ascii="Times New Roman" w:eastAsia="Times New Roman" w:hAnsi="Times New Roman"/>
          <w:sz w:val="24"/>
          <w:szCs w:val="24"/>
          <w:lang w:eastAsia="fr-FR"/>
        </w:rPr>
        <w:t xml:space="preserve">Voir la matrice </w:t>
      </w:r>
      <w:r>
        <w:rPr>
          <w:rFonts w:ascii="Times New Roman" w:eastAsia="Times New Roman" w:hAnsi="Times New Roman"/>
          <w:sz w:val="24"/>
          <w:szCs w:val="24"/>
          <w:lang w:eastAsia="fr-FR"/>
        </w:rPr>
        <w:t>E</w:t>
      </w:r>
      <w:r w:rsidRPr="00A570D7">
        <w:rPr>
          <w:rFonts w:ascii="Times New Roman" w:eastAsia="Times New Roman" w:hAnsi="Times New Roman"/>
          <w:sz w:val="24"/>
          <w:szCs w:val="24"/>
          <w:lang w:eastAsia="fr-FR"/>
        </w:rPr>
        <w:t>xcel du projet de PTA 2025 Budgétisé.</w:t>
      </w:r>
    </w:p>
    <w:p w14:paraId="5E5E5570" w14:textId="77777777" w:rsidR="00A570D7" w:rsidRPr="00A570D7" w:rsidRDefault="00A570D7" w:rsidP="00A570D7">
      <w:pPr>
        <w:spacing w:after="0" w:line="240" w:lineRule="auto"/>
        <w:ind w:left="720"/>
        <w:jc w:val="both"/>
        <w:rPr>
          <w:rFonts w:ascii="Times New Roman" w:eastAsia="Times New Roman" w:hAnsi="Times New Roman"/>
          <w:sz w:val="24"/>
          <w:szCs w:val="24"/>
          <w:lang w:eastAsia="fr-FR"/>
        </w:rPr>
      </w:pPr>
    </w:p>
    <w:p w14:paraId="387E4063" w14:textId="6E33C63E" w:rsidR="00CF704D" w:rsidRPr="00CC7F0A" w:rsidRDefault="004E5FBA">
      <w:pPr>
        <w:spacing w:after="0" w:line="240" w:lineRule="auto"/>
        <w:rPr>
          <w:rFonts w:ascii="Times New Roman" w:hAnsi="Times New Roman"/>
          <w:b/>
          <w:sz w:val="24"/>
          <w:szCs w:val="24"/>
        </w:rPr>
      </w:pPr>
      <w:r>
        <w:rPr>
          <w:rFonts w:ascii="Times New Roman" w:eastAsia="Times New Roman" w:hAnsi="Times New Roman"/>
          <w:b/>
          <w:bCs/>
          <w:sz w:val="27"/>
          <w:szCs w:val="27"/>
          <w:lang w:eastAsia="fr-FR"/>
        </w:rPr>
        <w:t>1</w:t>
      </w:r>
      <w:r w:rsidR="00A570D7">
        <w:rPr>
          <w:rFonts w:ascii="Times New Roman" w:eastAsia="Times New Roman" w:hAnsi="Times New Roman"/>
          <w:b/>
          <w:bCs/>
          <w:sz w:val="27"/>
          <w:szCs w:val="27"/>
          <w:lang w:eastAsia="fr-FR"/>
        </w:rPr>
        <w:t>2</w:t>
      </w:r>
      <w:r w:rsidR="00CC7F0A" w:rsidRPr="003E3F15">
        <w:rPr>
          <w:rFonts w:ascii="Times New Roman" w:eastAsia="Times New Roman" w:hAnsi="Times New Roman"/>
          <w:b/>
          <w:bCs/>
          <w:sz w:val="27"/>
          <w:szCs w:val="27"/>
          <w:lang w:eastAsia="fr-FR"/>
        </w:rPr>
        <w:t>. Annexes</w:t>
      </w:r>
    </w:p>
    <w:p w14:paraId="1CD49D87" w14:textId="61BCB454" w:rsidR="005104DC" w:rsidRDefault="005104DC" w:rsidP="00923774">
      <w:pPr>
        <w:pStyle w:val="Pieddepage"/>
        <w:numPr>
          <w:ilvl w:val="0"/>
          <w:numId w:val="19"/>
        </w:numPr>
        <w:rPr>
          <w:rFonts w:ascii="Times New Roman" w:hAnsi="Times New Roman"/>
          <w:szCs w:val="24"/>
        </w:rPr>
      </w:pPr>
      <w:r>
        <w:rPr>
          <w:rFonts w:ascii="Times New Roman" w:hAnsi="Times New Roman"/>
          <w:szCs w:val="24"/>
        </w:rPr>
        <w:t>Norme ITIE 2023</w:t>
      </w:r>
    </w:p>
    <w:p w14:paraId="1F0FE46A" w14:textId="77777777" w:rsidR="005104DC" w:rsidRDefault="005104DC" w:rsidP="00923774">
      <w:pPr>
        <w:pStyle w:val="Pieddepage"/>
        <w:numPr>
          <w:ilvl w:val="0"/>
          <w:numId w:val="19"/>
        </w:numPr>
        <w:rPr>
          <w:rFonts w:ascii="Times New Roman" w:hAnsi="Times New Roman"/>
          <w:szCs w:val="24"/>
        </w:rPr>
      </w:pPr>
      <w:r>
        <w:rPr>
          <w:rFonts w:ascii="Times New Roman" w:hAnsi="Times New Roman"/>
          <w:szCs w:val="24"/>
        </w:rPr>
        <w:t>Modifications apportées au modèle de Validation ITIE</w:t>
      </w:r>
    </w:p>
    <w:p w14:paraId="1F5EEB96" w14:textId="06A85380" w:rsidR="005104DC" w:rsidRDefault="005104DC" w:rsidP="00923774">
      <w:pPr>
        <w:pStyle w:val="Pieddepage"/>
        <w:numPr>
          <w:ilvl w:val="0"/>
          <w:numId w:val="19"/>
        </w:numPr>
        <w:rPr>
          <w:rFonts w:ascii="Times New Roman" w:hAnsi="Times New Roman"/>
          <w:szCs w:val="24"/>
        </w:rPr>
      </w:pPr>
      <w:r>
        <w:rPr>
          <w:rFonts w:ascii="Times New Roman" w:hAnsi="Times New Roman"/>
          <w:szCs w:val="24"/>
        </w:rPr>
        <w:t>Plan de travail triennal 2023-2025</w:t>
      </w:r>
    </w:p>
    <w:p w14:paraId="5E78DA13" w14:textId="04B7DE37" w:rsidR="00923774" w:rsidRPr="00D438FA" w:rsidRDefault="00923774" w:rsidP="00923774">
      <w:pPr>
        <w:pStyle w:val="Pieddepage"/>
        <w:numPr>
          <w:ilvl w:val="0"/>
          <w:numId w:val="19"/>
        </w:numPr>
        <w:rPr>
          <w:rFonts w:ascii="Times New Roman" w:hAnsi="Times New Roman"/>
          <w:szCs w:val="24"/>
        </w:rPr>
      </w:pPr>
      <w:r w:rsidRPr="00D438FA">
        <w:rPr>
          <w:rFonts w:ascii="Times New Roman" w:hAnsi="Times New Roman"/>
          <w:szCs w:val="24"/>
        </w:rPr>
        <w:t xml:space="preserve">Questionnaire </w:t>
      </w:r>
      <w:r w:rsidR="00643CC2" w:rsidRPr="00D438FA">
        <w:rPr>
          <w:rFonts w:ascii="Times New Roman" w:hAnsi="Times New Roman"/>
          <w:szCs w:val="24"/>
        </w:rPr>
        <w:t>de consultation des parties prenantes sur les priorités nationales et le Plan de Travail 2025</w:t>
      </w:r>
    </w:p>
    <w:p w14:paraId="5D52E903" w14:textId="4B584FC3" w:rsidR="00643CC2" w:rsidRDefault="00643CC2" w:rsidP="00643CC2">
      <w:pPr>
        <w:pStyle w:val="Pieddepage"/>
        <w:numPr>
          <w:ilvl w:val="0"/>
          <w:numId w:val="19"/>
        </w:numPr>
        <w:rPr>
          <w:rFonts w:ascii="Times New Roman" w:hAnsi="Times New Roman"/>
          <w:szCs w:val="24"/>
        </w:rPr>
      </w:pPr>
      <w:r w:rsidRPr="00D438FA">
        <w:rPr>
          <w:rFonts w:ascii="Times New Roman" w:hAnsi="Times New Roman"/>
          <w:szCs w:val="24"/>
        </w:rPr>
        <w:t>Rapport d’exécution financière de la mise en œuvre des activités du Comité ITIE en 2024</w:t>
      </w:r>
    </w:p>
    <w:p w14:paraId="15F8B606" w14:textId="41B69E6A" w:rsidR="00496711" w:rsidRDefault="00496711" w:rsidP="00643CC2">
      <w:pPr>
        <w:pStyle w:val="Pieddepage"/>
        <w:numPr>
          <w:ilvl w:val="0"/>
          <w:numId w:val="19"/>
        </w:numPr>
        <w:rPr>
          <w:rFonts w:ascii="Times New Roman" w:hAnsi="Times New Roman"/>
          <w:szCs w:val="24"/>
        </w:rPr>
      </w:pPr>
      <w:r>
        <w:rPr>
          <w:rFonts w:ascii="Times New Roman" w:hAnsi="Times New Roman"/>
          <w:szCs w:val="24"/>
        </w:rPr>
        <w:t>Tableau synthétique des contributions des différents collèges</w:t>
      </w:r>
    </w:p>
    <w:p w14:paraId="15E82C8A" w14:textId="0111034A" w:rsidR="005104DC" w:rsidRDefault="005104DC" w:rsidP="00643CC2">
      <w:pPr>
        <w:pStyle w:val="Pieddepage"/>
        <w:numPr>
          <w:ilvl w:val="0"/>
          <w:numId w:val="19"/>
        </w:numPr>
        <w:rPr>
          <w:rFonts w:ascii="Times New Roman" w:hAnsi="Times New Roman"/>
          <w:szCs w:val="24"/>
        </w:rPr>
      </w:pPr>
      <w:r>
        <w:rPr>
          <w:rFonts w:ascii="Times New Roman" w:hAnsi="Times New Roman"/>
          <w:szCs w:val="24"/>
        </w:rPr>
        <w:t>Rapport Annuel d’avancement 2024 du Comité ITIE</w:t>
      </w:r>
    </w:p>
    <w:p w14:paraId="4B9329F4" w14:textId="338E8764" w:rsidR="00496711" w:rsidRPr="00D438FA" w:rsidRDefault="00496711" w:rsidP="00704F7D">
      <w:pPr>
        <w:pStyle w:val="Pieddepage"/>
        <w:numPr>
          <w:ilvl w:val="0"/>
          <w:numId w:val="19"/>
        </w:numPr>
        <w:rPr>
          <w:rFonts w:ascii="Times New Roman" w:hAnsi="Times New Roman"/>
          <w:szCs w:val="24"/>
        </w:rPr>
      </w:pPr>
      <w:r w:rsidRPr="00DF65C4">
        <w:rPr>
          <w:rFonts w:ascii="Times New Roman" w:hAnsi="Times New Roman"/>
          <w:szCs w:val="24"/>
        </w:rPr>
        <w:t>Chronogramme d’actions du GTSEC</w:t>
      </w:r>
    </w:p>
    <w:sectPr w:rsidR="00496711" w:rsidRPr="00D438FA" w:rsidSect="002D028C">
      <w:footerReference w:type="default" r:id="rId9"/>
      <w:pgSz w:w="11906" w:h="16838"/>
      <w:pgMar w:top="425" w:right="1416" w:bottom="425" w:left="113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A0253" w14:textId="77777777" w:rsidR="00D90DDE" w:rsidRDefault="00D90DDE">
      <w:pPr>
        <w:spacing w:line="240" w:lineRule="auto"/>
      </w:pPr>
      <w:r>
        <w:separator/>
      </w:r>
    </w:p>
  </w:endnote>
  <w:endnote w:type="continuationSeparator" w:id="0">
    <w:p w14:paraId="38CDBCE2" w14:textId="77777777" w:rsidR="00D90DDE" w:rsidRDefault="00D90D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209200"/>
      <w:docPartObj>
        <w:docPartGallery w:val="Page Numbers (Bottom of Page)"/>
        <w:docPartUnique/>
      </w:docPartObj>
    </w:sdtPr>
    <w:sdtContent>
      <w:sdt>
        <w:sdtPr>
          <w:id w:val="1728636285"/>
          <w:docPartObj>
            <w:docPartGallery w:val="Page Numbers (Top of Page)"/>
            <w:docPartUnique/>
          </w:docPartObj>
        </w:sdtPr>
        <w:sdtContent>
          <w:p w14:paraId="0A014D6C" w14:textId="005E9A52" w:rsidR="00DF65C4" w:rsidRDefault="00DF65C4">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F04DD4B" w14:textId="77777777" w:rsidR="00214EA7" w:rsidRDefault="00214E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9C60" w14:textId="77777777" w:rsidR="00D90DDE" w:rsidRDefault="00D90DDE">
      <w:pPr>
        <w:spacing w:after="0"/>
      </w:pPr>
      <w:r>
        <w:separator/>
      </w:r>
    </w:p>
  </w:footnote>
  <w:footnote w:type="continuationSeparator" w:id="0">
    <w:p w14:paraId="0EB2172C" w14:textId="77777777" w:rsidR="00D90DDE" w:rsidRDefault="00D90DDE">
      <w:pPr>
        <w:spacing w:after="0"/>
      </w:pPr>
      <w:r>
        <w:continuationSeparator/>
      </w:r>
    </w:p>
  </w:footnote>
  <w:footnote w:id="1">
    <w:p w14:paraId="2E67685E" w14:textId="77777777" w:rsidR="00214EA7" w:rsidRPr="004E432F" w:rsidRDefault="00214EA7" w:rsidP="004A2A3C">
      <w:pPr>
        <w:pStyle w:val="Notedebasdepage"/>
        <w:rPr>
          <w:rFonts w:ascii="Times New Roman" w:hAnsi="Times New Roman" w:cs="Times New Roman"/>
        </w:rPr>
      </w:pPr>
      <w:r>
        <w:rPr>
          <w:rStyle w:val="Appelnotedebasdep"/>
        </w:rPr>
        <w:footnoteRef/>
      </w:r>
      <w:r>
        <w:t xml:space="preserve"> </w:t>
      </w:r>
      <w:r w:rsidRPr="004E432F">
        <w:rPr>
          <w:rFonts w:ascii="Times New Roman" w:hAnsi="Times New Roman" w:cs="Times New Roman"/>
        </w:rPr>
        <w:t>Voir Programme économique, financier, social et culturel 2025 du Gouvernement présenté en décembre 2024 par le Premier Ministre Monsieur Dion NGUTE devant le Parlement</w:t>
      </w:r>
    </w:p>
  </w:footnote>
  <w:footnote w:id="2">
    <w:p w14:paraId="501BABA0" w14:textId="77777777" w:rsidR="00214EA7" w:rsidRPr="004E432F" w:rsidRDefault="00214EA7" w:rsidP="004C29C7">
      <w:pPr>
        <w:pStyle w:val="Notedebasdepage"/>
        <w:rPr>
          <w:rFonts w:ascii="Times New Roman" w:hAnsi="Times New Roman" w:cs="Times New Roman"/>
        </w:rPr>
      </w:pPr>
      <w:r w:rsidRPr="004E432F">
        <w:rPr>
          <w:rStyle w:val="Appelnotedebasdep"/>
          <w:rFonts w:ascii="Times New Roman" w:hAnsi="Times New Roman" w:cs="Times New Roman"/>
        </w:rPr>
        <w:footnoteRef/>
      </w:r>
      <w:r w:rsidRPr="004E432F">
        <w:rPr>
          <w:rFonts w:ascii="Times New Roman" w:hAnsi="Times New Roman" w:cs="Times New Roman"/>
        </w:rPr>
        <w:t xml:space="preserve"> Voir Stratégie Nationale de Développement 20-30 et Plan de développement 2025-2029 de la SNH</w:t>
      </w:r>
    </w:p>
  </w:footnote>
  <w:footnote w:id="3">
    <w:p w14:paraId="5093EBEC" w14:textId="77777777" w:rsidR="00214EA7" w:rsidRPr="004E432F" w:rsidRDefault="00214EA7" w:rsidP="004C29C7">
      <w:pPr>
        <w:pStyle w:val="Notedebasdepage"/>
        <w:rPr>
          <w:rFonts w:ascii="Times New Roman" w:hAnsi="Times New Roman" w:cs="Times New Roman"/>
        </w:rPr>
      </w:pPr>
      <w:r w:rsidRPr="004E432F">
        <w:rPr>
          <w:rStyle w:val="Appelnotedebasdep"/>
          <w:rFonts w:ascii="Times New Roman" w:hAnsi="Times New Roman" w:cs="Times New Roman"/>
        </w:rPr>
        <w:footnoteRef/>
      </w:r>
      <w:r w:rsidRPr="004E432F">
        <w:rPr>
          <w:rFonts w:ascii="Times New Roman" w:hAnsi="Times New Roman" w:cs="Times New Roman"/>
        </w:rPr>
        <w:t xml:space="preserve"> Documents de la conférence annuelle du MINFI du 31 janvier 2024 et Loi 2024 sur la fiscalité locale ainsi que les textes sur la réforme du bénéficiaire effectif</w:t>
      </w:r>
    </w:p>
  </w:footnote>
  <w:footnote w:id="4">
    <w:p w14:paraId="55CE8B8F" w14:textId="77777777" w:rsidR="00214EA7" w:rsidRPr="004E432F" w:rsidRDefault="00214EA7" w:rsidP="004C29C7">
      <w:pPr>
        <w:pStyle w:val="Notedebasdepage"/>
        <w:rPr>
          <w:rFonts w:ascii="Times New Roman" w:hAnsi="Times New Roman" w:cs="Times New Roman"/>
        </w:rPr>
      </w:pPr>
      <w:r w:rsidRPr="004E432F">
        <w:rPr>
          <w:rStyle w:val="Appelnotedebasdep"/>
          <w:rFonts w:ascii="Times New Roman" w:hAnsi="Times New Roman" w:cs="Times New Roman"/>
        </w:rPr>
        <w:footnoteRef/>
      </w:r>
      <w:r w:rsidRPr="004E432F">
        <w:rPr>
          <w:rFonts w:ascii="Times New Roman" w:hAnsi="Times New Roman" w:cs="Times New Roman"/>
        </w:rPr>
        <w:t xml:space="preserve"> Recommandations de la Conférence des Chefs d’Etat de la CEMAC à l’issue du sommet de Yaoundé de décembre 2024 </w:t>
      </w:r>
    </w:p>
  </w:footnote>
  <w:footnote w:id="5">
    <w:p w14:paraId="6FCCCA15" w14:textId="77777777" w:rsidR="00214EA7" w:rsidRDefault="00214EA7" w:rsidP="004C29C7">
      <w:pPr>
        <w:pStyle w:val="Notedebasdepage"/>
      </w:pPr>
      <w:r w:rsidRPr="004E432F">
        <w:rPr>
          <w:rStyle w:val="Appelnotedebasdep"/>
          <w:rFonts w:ascii="Times New Roman" w:hAnsi="Times New Roman" w:cs="Times New Roman"/>
        </w:rPr>
        <w:footnoteRef/>
      </w:r>
      <w:r w:rsidRPr="004E432F">
        <w:rPr>
          <w:rFonts w:ascii="Times New Roman" w:hAnsi="Times New Roman" w:cs="Times New Roman"/>
        </w:rPr>
        <w:t xml:space="preserve"> Voir Programme économique, financier, social et culturel 2025 du Gouvernement présenté en décembre 2024 par le Premier Ministre Monsieur Dion NGUTE devant le Parlement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ED40BB"/>
    <w:multiLevelType w:val="singleLevel"/>
    <w:tmpl w:val="13D4FFA6"/>
    <w:lvl w:ilvl="0">
      <w:start w:val="1"/>
      <w:numFmt w:val="decimal"/>
      <w:lvlText w:val="%1."/>
      <w:lvlJc w:val="left"/>
      <w:pPr>
        <w:tabs>
          <w:tab w:val="left" w:pos="425"/>
        </w:tabs>
        <w:ind w:left="425" w:hanging="425"/>
      </w:pPr>
      <w:rPr>
        <w:rFonts w:hint="default"/>
        <w:i w:val="0"/>
      </w:rPr>
    </w:lvl>
  </w:abstractNum>
  <w:abstractNum w:abstractNumId="1" w15:restartNumberingAfterBreak="0">
    <w:nsid w:val="0060053C"/>
    <w:multiLevelType w:val="hybridMultilevel"/>
    <w:tmpl w:val="0E006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2E2051"/>
    <w:multiLevelType w:val="multilevel"/>
    <w:tmpl w:val="1630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21CC2"/>
    <w:multiLevelType w:val="multilevel"/>
    <w:tmpl w:val="1A321CC2"/>
    <w:lvl w:ilvl="0">
      <w:start w:val="5"/>
      <w:numFmt w:val="bullet"/>
      <w:lvlText w:val="-"/>
      <w:lvlJc w:val="left"/>
      <w:pPr>
        <w:ind w:left="720" w:hanging="360"/>
      </w:pPr>
      <w:rPr>
        <w:rFonts w:ascii="Arial Narrow" w:eastAsia="Calibri"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E23303"/>
    <w:multiLevelType w:val="multilevel"/>
    <w:tmpl w:val="6F40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A7A67"/>
    <w:multiLevelType w:val="hybridMultilevel"/>
    <w:tmpl w:val="417246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AE29C9"/>
    <w:multiLevelType w:val="multilevel"/>
    <w:tmpl w:val="7728B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7559F3"/>
    <w:multiLevelType w:val="multilevel"/>
    <w:tmpl w:val="1588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A6837"/>
    <w:multiLevelType w:val="hybridMultilevel"/>
    <w:tmpl w:val="A5380006"/>
    <w:lvl w:ilvl="0" w:tplc="52D292C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8363A93"/>
    <w:multiLevelType w:val="multilevel"/>
    <w:tmpl w:val="9B1C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03AF8"/>
    <w:multiLevelType w:val="multilevel"/>
    <w:tmpl w:val="F57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05758"/>
    <w:multiLevelType w:val="hybridMultilevel"/>
    <w:tmpl w:val="46603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C93F17"/>
    <w:multiLevelType w:val="multilevel"/>
    <w:tmpl w:val="346E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F903A9"/>
    <w:multiLevelType w:val="multilevel"/>
    <w:tmpl w:val="527C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C55F9"/>
    <w:multiLevelType w:val="hybridMultilevel"/>
    <w:tmpl w:val="E292B64E"/>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622B94"/>
    <w:multiLevelType w:val="multilevel"/>
    <w:tmpl w:val="086C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CA560B"/>
    <w:multiLevelType w:val="multilevel"/>
    <w:tmpl w:val="5D86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7750AE"/>
    <w:multiLevelType w:val="multilevel"/>
    <w:tmpl w:val="F7A8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9D159B"/>
    <w:multiLevelType w:val="multilevel"/>
    <w:tmpl w:val="14C2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C7644"/>
    <w:multiLevelType w:val="multilevel"/>
    <w:tmpl w:val="A122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0"/>
    <w:lvlOverride w:ilvl="0">
      <w:startOverride w:val="1"/>
    </w:lvlOverride>
  </w:num>
  <w:num w:numId="4">
    <w:abstractNumId w:val="2"/>
  </w:num>
  <w:num w:numId="5">
    <w:abstractNumId w:val="9"/>
  </w:num>
  <w:num w:numId="6">
    <w:abstractNumId w:val="10"/>
  </w:num>
  <w:num w:numId="7">
    <w:abstractNumId w:val="12"/>
  </w:num>
  <w:num w:numId="8">
    <w:abstractNumId w:val="13"/>
  </w:num>
  <w:num w:numId="9">
    <w:abstractNumId w:val="15"/>
  </w:num>
  <w:num w:numId="10">
    <w:abstractNumId w:val="16"/>
  </w:num>
  <w:num w:numId="11">
    <w:abstractNumId w:val="19"/>
  </w:num>
  <w:num w:numId="12">
    <w:abstractNumId w:val="17"/>
  </w:num>
  <w:num w:numId="13">
    <w:abstractNumId w:val="4"/>
  </w:num>
  <w:num w:numId="14">
    <w:abstractNumId w:val="7"/>
  </w:num>
  <w:num w:numId="15">
    <w:abstractNumId w:val="18"/>
  </w:num>
  <w:num w:numId="16">
    <w:abstractNumId w:val="6"/>
  </w:num>
  <w:num w:numId="17">
    <w:abstractNumId w:val="14"/>
  </w:num>
  <w:num w:numId="18">
    <w:abstractNumId w:val="11"/>
  </w:num>
  <w:num w:numId="19">
    <w:abstractNumId w:val="5"/>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defaultTabStop w:val="708"/>
  <w:hyphenationZone w:val="425"/>
  <w:drawingGridHorizontalSpacing w:val="110"/>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897947"/>
    <w:rsid w:val="0000503D"/>
    <w:rsid w:val="00010381"/>
    <w:rsid w:val="00013B72"/>
    <w:rsid w:val="00015BF3"/>
    <w:rsid w:val="000167AC"/>
    <w:rsid w:val="0001720E"/>
    <w:rsid w:val="000172C8"/>
    <w:rsid w:val="0003371F"/>
    <w:rsid w:val="00034CCC"/>
    <w:rsid w:val="00036558"/>
    <w:rsid w:val="000368F7"/>
    <w:rsid w:val="000413EE"/>
    <w:rsid w:val="000471F3"/>
    <w:rsid w:val="00050534"/>
    <w:rsid w:val="00051423"/>
    <w:rsid w:val="00062665"/>
    <w:rsid w:val="00075B9F"/>
    <w:rsid w:val="00080BD3"/>
    <w:rsid w:val="00080EF3"/>
    <w:rsid w:val="00083C66"/>
    <w:rsid w:val="00084472"/>
    <w:rsid w:val="000955C5"/>
    <w:rsid w:val="000A166B"/>
    <w:rsid w:val="000A1F63"/>
    <w:rsid w:val="000A249E"/>
    <w:rsid w:val="000A29DB"/>
    <w:rsid w:val="000A2EDD"/>
    <w:rsid w:val="000B65F6"/>
    <w:rsid w:val="000C1B39"/>
    <w:rsid w:val="000C45A2"/>
    <w:rsid w:val="000C53A0"/>
    <w:rsid w:val="000D3B28"/>
    <w:rsid w:val="000D6287"/>
    <w:rsid w:val="000E0B46"/>
    <w:rsid w:val="000E2587"/>
    <w:rsid w:val="000E59A3"/>
    <w:rsid w:val="000F6C95"/>
    <w:rsid w:val="00104C9C"/>
    <w:rsid w:val="00110E92"/>
    <w:rsid w:val="00114B03"/>
    <w:rsid w:val="001163A3"/>
    <w:rsid w:val="001174A4"/>
    <w:rsid w:val="001177C2"/>
    <w:rsid w:val="00120A2D"/>
    <w:rsid w:val="00121FC8"/>
    <w:rsid w:val="0012684A"/>
    <w:rsid w:val="001268A8"/>
    <w:rsid w:val="00126C61"/>
    <w:rsid w:val="00130369"/>
    <w:rsid w:val="0013267B"/>
    <w:rsid w:val="00140C4D"/>
    <w:rsid w:val="00143FB5"/>
    <w:rsid w:val="0015573E"/>
    <w:rsid w:val="001612EB"/>
    <w:rsid w:val="00161FA1"/>
    <w:rsid w:val="0016316E"/>
    <w:rsid w:val="00164602"/>
    <w:rsid w:val="00165F1C"/>
    <w:rsid w:val="001663F8"/>
    <w:rsid w:val="00167513"/>
    <w:rsid w:val="001714CC"/>
    <w:rsid w:val="00172586"/>
    <w:rsid w:val="00174942"/>
    <w:rsid w:val="00174BEE"/>
    <w:rsid w:val="001805EA"/>
    <w:rsid w:val="00181727"/>
    <w:rsid w:val="001838DC"/>
    <w:rsid w:val="00185DEF"/>
    <w:rsid w:val="001874DF"/>
    <w:rsid w:val="001926E1"/>
    <w:rsid w:val="001953B7"/>
    <w:rsid w:val="0019552A"/>
    <w:rsid w:val="00196D16"/>
    <w:rsid w:val="001A3BA4"/>
    <w:rsid w:val="001A7E29"/>
    <w:rsid w:val="001B204F"/>
    <w:rsid w:val="001B61DB"/>
    <w:rsid w:val="001C08CC"/>
    <w:rsid w:val="001C3EC9"/>
    <w:rsid w:val="001C5AD3"/>
    <w:rsid w:val="001D2951"/>
    <w:rsid w:val="001D3CE0"/>
    <w:rsid w:val="001E0F0D"/>
    <w:rsid w:val="001E20B2"/>
    <w:rsid w:val="001E3488"/>
    <w:rsid w:val="001E3944"/>
    <w:rsid w:val="001E5AAE"/>
    <w:rsid w:val="001E6FFE"/>
    <w:rsid w:val="001F1DA1"/>
    <w:rsid w:val="001F3C5B"/>
    <w:rsid w:val="001F4B34"/>
    <w:rsid w:val="001F5C35"/>
    <w:rsid w:val="001F6AFA"/>
    <w:rsid w:val="0020416C"/>
    <w:rsid w:val="002041B4"/>
    <w:rsid w:val="00207CCE"/>
    <w:rsid w:val="00207DEA"/>
    <w:rsid w:val="00212253"/>
    <w:rsid w:val="00213CBF"/>
    <w:rsid w:val="002140C8"/>
    <w:rsid w:val="00214EA7"/>
    <w:rsid w:val="00221154"/>
    <w:rsid w:val="00223383"/>
    <w:rsid w:val="00224579"/>
    <w:rsid w:val="00226769"/>
    <w:rsid w:val="00227788"/>
    <w:rsid w:val="00230C81"/>
    <w:rsid w:val="00233661"/>
    <w:rsid w:val="00235F70"/>
    <w:rsid w:val="00240CB9"/>
    <w:rsid w:val="002414D2"/>
    <w:rsid w:val="00241EBA"/>
    <w:rsid w:val="0024346C"/>
    <w:rsid w:val="00244572"/>
    <w:rsid w:val="00246CC8"/>
    <w:rsid w:val="0025080F"/>
    <w:rsid w:val="0025401F"/>
    <w:rsid w:val="002548EB"/>
    <w:rsid w:val="002670E4"/>
    <w:rsid w:val="00270A3C"/>
    <w:rsid w:val="002745E4"/>
    <w:rsid w:val="00281ACB"/>
    <w:rsid w:val="00281DDF"/>
    <w:rsid w:val="00284821"/>
    <w:rsid w:val="0029279A"/>
    <w:rsid w:val="00296610"/>
    <w:rsid w:val="00297D6A"/>
    <w:rsid w:val="002B39DD"/>
    <w:rsid w:val="002B6181"/>
    <w:rsid w:val="002B6636"/>
    <w:rsid w:val="002C0DCB"/>
    <w:rsid w:val="002C0F08"/>
    <w:rsid w:val="002C3746"/>
    <w:rsid w:val="002C574B"/>
    <w:rsid w:val="002D028C"/>
    <w:rsid w:val="002D439F"/>
    <w:rsid w:val="002D4BE5"/>
    <w:rsid w:val="002D59B5"/>
    <w:rsid w:val="002E028B"/>
    <w:rsid w:val="002E5E11"/>
    <w:rsid w:val="002F321C"/>
    <w:rsid w:val="002F3429"/>
    <w:rsid w:val="003001CA"/>
    <w:rsid w:val="00301F24"/>
    <w:rsid w:val="00303994"/>
    <w:rsid w:val="00303BE3"/>
    <w:rsid w:val="00307C6F"/>
    <w:rsid w:val="00310707"/>
    <w:rsid w:val="0031241D"/>
    <w:rsid w:val="003214F4"/>
    <w:rsid w:val="00322BFD"/>
    <w:rsid w:val="00325382"/>
    <w:rsid w:val="00326CE4"/>
    <w:rsid w:val="003270DD"/>
    <w:rsid w:val="00330B03"/>
    <w:rsid w:val="00330F6C"/>
    <w:rsid w:val="00336711"/>
    <w:rsid w:val="003523B9"/>
    <w:rsid w:val="00353073"/>
    <w:rsid w:val="003532EB"/>
    <w:rsid w:val="00353F89"/>
    <w:rsid w:val="0035558D"/>
    <w:rsid w:val="0035604E"/>
    <w:rsid w:val="0035650E"/>
    <w:rsid w:val="00356EA5"/>
    <w:rsid w:val="003576DA"/>
    <w:rsid w:val="00361EC6"/>
    <w:rsid w:val="00363A32"/>
    <w:rsid w:val="00363A6F"/>
    <w:rsid w:val="003706F0"/>
    <w:rsid w:val="00371F3A"/>
    <w:rsid w:val="00372866"/>
    <w:rsid w:val="003733AC"/>
    <w:rsid w:val="003771D0"/>
    <w:rsid w:val="00380818"/>
    <w:rsid w:val="00380D4A"/>
    <w:rsid w:val="00385AF8"/>
    <w:rsid w:val="00394EF2"/>
    <w:rsid w:val="00396871"/>
    <w:rsid w:val="003A2BB0"/>
    <w:rsid w:val="003A2E18"/>
    <w:rsid w:val="003A4B8C"/>
    <w:rsid w:val="003A5CE7"/>
    <w:rsid w:val="003A78FA"/>
    <w:rsid w:val="003B0662"/>
    <w:rsid w:val="003B099D"/>
    <w:rsid w:val="003B637D"/>
    <w:rsid w:val="003B7606"/>
    <w:rsid w:val="003B7ABF"/>
    <w:rsid w:val="003C0678"/>
    <w:rsid w:val="003C110E"/>
    <w:rsid w:val="003C4879"/>
    <w:rsid w:val="003C52FC"/>
    <w:rsid w:val="003D074E"/>
    <w:rsid w:val="003D122A"/>
    <w:rsid w:val="003D1907"/>
    <w:rsid w:val="003D3150"/>
    <w:rsid w:val="003D6EF7"/>
    <w:rsid w:val="003E132D"/>
    <w:rsid w:val="003E3F15"/>
    <w:rsid w:val="003E5F5C"/>
    <w:rsid w:val="003E6567"/>
    <w:rsid w:val="003E7FC7"/>
    <w:rsid w:val="003F3A75"/>
    <w:rsid w:val="003F5081"/>
    <w:rsid w:val="003F53FB"/>
    <w:rsid w:val="003F6475"/>
    <w:rsid w:val="003F7A64"/>
    <w:rsid w:val="00400499"/>
    <w:rsid w:val="00406877"/>
    <w:rsid w:val="004103A9"/>
    <w:rsid w:val="004118B1"/>
    <w:rsid w:val="00411FBA"/>
    <w:rsid w:val="00416789"/>
    <w:rsid w:val="00421A79"/>
    <w:rsid w:val="00430966"/>
    <w:rsid w:val="004316B6"/>
    <w:rsid w:val="00431832"/>
    <w:rsid w:val="004321FD"/>
    <w:rsid w:val="00432725"/>
    <w:rsid w:val="004338EF"/>
    <w:rsid w:val="004344DC"/>
    <w:rsid w:val="004352E3"/>
    <w:rsid w:val="00435D5D"/>
    <w:rsid w:val="0044177C"/>
    <w:rsid w:val="004433AF"/>
    <w:rsid w:val="004441C2"/>
    <w:rsid w:val="00444634"/>
    <w:rsid w:val="00447A8F"/>
    <w:rsid w:val="004518CB"/>
    <w:rsid w:val="00464CAA"/>
    <w:rsid w:val="00466279"/>
    <w:rsid w:val="00466C61"/>
    <w:rsid w:val="0047030F"/>
    <w:rsid w:val="00471A51"/>
    <w:rsid w:val="0047435B"/>
    <w:rsid w:val="00477C80"/>
    <w:rsid w:val="00481B01"/>
    <w:rsid w:val="00496711"/>
    <w:rsid w:val="00497103"/>
    <w:rsid w:val="00497D16"/>
    <w:rsid w:val="004A0A2C"/>
    <w:rsid w:val="004A2A3C"/>
    <w:rsid w:val="004A48EA"/>
    <w:rsid w:val="004A60F1"/>
    <w:rsid w:val="004A7756"/>
    <w:rsid w:val="004B003E"/>
    <w:rsid w:val="004B2D31"/>
    <w:rsid w:val="004B5273"/>
    <w:rsid w:val="004C29C7"/>
    <w:rsid w:val="004C52E3"/>
    <w:rsid w:val="004C5497"/>
    <w:rsid w:val="004D0EC8"/>
    <w:rsid w:val="004E1443"/>
    <w:rsid w:val="004E1C7D"/>
    <w:rsid w:val="004E40CA"/>
    <w:rsid w:val="004E467C"/>
    <w:rsid w:val="004E4CEB"/>
    <w:rsid w:val="004E5FBA"/>
    <w:rsid w:val="004E624D"/>
    <w:rsid w:val="004E7E8B"/>
    <w:rsid w:val="004F006F"/>
    <w:rsid w:val="004F04BC"/>
    <w:rsid w:val="004F1B55"/>
    <w:rsid w:val="004F1DD3"/>
    <w:rsid w:val="004F2249"/>
    <w:rsid w:val="004F6E59"/>
    <w:rsid w:val="004F753F"/>
    <w:rsid w:val="00501DAC"/>
    <w:rsid w:val="005025CC"/>
    <w:rsid w:val="005104DC"/>
    <w:rsid w:val="0051218E"/>
    <w:rsid w:val="0051552B"/>
    <w:rsid w:val="00522A07"/>
    <w:rsid w:val="00532612"/>
    <w:rsid w:val="00532997"/>
    <w:rsid w:val="0053325D"/>
    <w:rsid w:val="00537C79"/>
    <w:rsid w:val="005414BB"/>
    <w:rsid w:val="00541CC4"/>
    <w:rsid w:val="005511FE"/>
    <w:rsid w:val="005566E9"/>
    <w:rsid w:val="00557706"/>
    <w:rsid w:val="00561C67"/>
    <w:rsid w:val="005638EB"/>
    <w:rsid w:val="00564634"/>
    <w:rsid w:val="00566CE9"/>
    <w:rsid w:val="0056707C"/>
    <w:rsid w:val="00567543"/>
    <w:rsid w:val="00567778"/>
    <w:rsid w:val="00567BD2"/>
    <w:rsid w:val="005720EF"/>
    <w:rsid w:val="00574E12"/>
    <w:rsid w:val="00576BD0"/>
    <w:rsid w:val="00577F5F"/>
    <w:rsid w:val="005A4885"/>
    <w:rsid w:val="005A7108"/>
    <w:rsid w:val="005B061D"/>
    <w:rsid w:val="005B1420"/>
    <w:rsid w:val="005B2479"/>
    <w:rsid w:val="005B5EB2"/>
    <w:rsid w:val="005B6A54"/>
    <w:rsid w:val="005C11B8"/>
    <w:rsid w:val="005C1A6E"/>
    <w:rsid w:val="005D08B2"/>
    <w:rsid w:val="005D2AE6"/>
    <w:rsid w:val="005D3297"/>
    <w:rsid w:val="005F12C2"/>
    <w:rsid w:val="005F3FBE"/>
    <w:rsid w:val="005F574C"/>
    <w:rsid w:val="005F5B73"/>
    <w:rsid w:val="005F5E40"/>
    <w:rsid w:val="00605B88"/>
    <w:rsid w:val="00605F4B"/>
    <w:rsid w:val="00607651"/>
    <w:rsid w:val="00607DAF"/>
    <w:rsid w:val="0061779D"/>
    <w:rsid w:val="006258EF"/>
    <w:rsid w:val="006262DB"/>
    <w:rsid w:val="00634060"/>
    <w:rsid w:val="0063475B"/>
    <w:rsid w:val="006428BA"/>
    <w:rsid w:val="00643CC2"/>
    <w:rsid w:val="006473D8"/>
    <w:rsid w:val="00647623"/>
    <w:rsid w:val="0065471C"/>
    <w:rsid w:val="00657289"/>
    <w:rsid w:val="00657943"/>
    <w:rsid w:val="00661FD1"/>
    <w:rsid w:val="00663A3E"/>
    <w:rsid w:val="00666FCC"/>
    <w:rsid w:val="00667205"/>
    <w:rsid w:val="00672B65"/>
    <w:rsid w:val="00677C56"/>
    <w:rsid w:val="00684E94"/>
    <w:rsid w:val="0068739A"/>
    <w:rsid w:val="00692432"/>
    <w:rsid w:val="00693711"/>
    <w:rsid w:val="006939D7"/>
    <w:rsid w:val="006A1D45"/>
    <w:rsid w:val="006A433D"/>
    <w:rsid w:val="006A4B98"/>
    <w:rsid w:val="006A5870"/>
    <w:rsid w:val="006A5908"/>
    <w:rsid w:val="006A5C20"/>
    <w:rsid w:val="006B2345"/>
    <w:rsid w:val="006B6568"/>
    <w:rsid w:val="006C04D2"/>
    <w:rsid w:val="006D0AA1"/>
    <w:rsid w:val="006D414D"/>
    <w:rsid w:val="006D5104"/>
    <w:rsid w:val="006D51B8"/>
    <w:rsid w:val="006E116C"/>
    <w:rsid w:val="006E3F87"/>
    <w:rsid w:val="006E6EDC"/>
    <w:rsid w:val="006F06B1"/>
    <w:rsid w:val="006F2D33"/>
    <w:rsid w:val="006F4538"/>
    <w:rsid w:val="00704329"/>
    <w:rsid w:val="00705B13"/>
    <w:rsid w:val="0070746B"/>
    <w:rsid w:val="0071213B"/>
    <w:rsid w:val="00712579"/>
    <w:rsid w:val="007144EA"/>
    <w:rsid w:val="0071593C"/>
    <w:rsid w:val="007166C7"/>
    <w:rsid w:val="007171E9"/>
    <w:rsid w:val="0072215F"/>
    <w:rsid w:val="0072235C"/>
    <w:rsid w:val="00723F1E"/>
    <w:rsid w:val="00726F69"/>
    <w:rsid w:val="007310AB"/>
    <w:rsid w:val="00735328"/>
    <w:rsid w:val="00736810"/>
    <w:rsid w:val="00740575"/>
    <w:rsid w:val="007407F2"/>
    <w:rsid w:val="00743EA0"/>
    <w:rsid w:val="00745C40"/>
    <w:rsid w:val="00750DC9"/>
    <w:rsid w:val="007522B4"/>
    <w:rsid w:val="00755869"/>
    <w:rsid w:val="0075668D"/>
    <w:rsid w:val="00760962"/>
    <w:rsid w:val="007617D9"/>
    <w:rsid w:val="0076200C"/>
    <w:rsid w:val="00762803"/>
    <w:rsid w:val="00762F3A"/>
    <w:rsid w:val="00763991"/>
    <w:rsid w:val="00767C6C"/>
    <w:rsid w:val="0077403F"/>
    <w:rsid w:val="00777CDC"/>
    <w:rsid w:val="007826C4"/>
    <w:rsid w:val="00784616"/>
    <w:rsid w:val="007864F5"/>
    <w:rsid w:val="00790FB3"/>
    <w:rsid w:val="007940F9"/>
    <w:rsid w:val="007947DE"/>
    <w:rsid w:val="007A124E"/>
    <w:rsid w:val="007B3C51"/>
    <w:rsid w:val="007B5D82"/>
    <w:rsid w:val="007B6B13"/>
    <w:rsid w:val="007C13F9"/>
    <w:rsid w:val="007C28A4"/>
    <w:rsid w:val="007C48E8"/>
    <w:rsid w:val="007C755C"/>
    <w:rsid w:val="007D1B5D"/>
    <w:rsid w:val="007D37F2"/>
    <w:rsid w:val="007D44AA"/>
    <w:rsid w:val="007D4BC5"/>
    <w:rsid w:val="007D502A"/>
    <w:rsid w:val="007D6320"/>
    <w:rsid w:val="007E07F5"/>
    <w:rsid w:val="007E34A2"/>
    <w:rsid w:val="007E36BA"/>
    <w:rsid w:val="007E6D83"/>
    <w:rsid w:val="007F1256"/>
    <w:rsid w:val="007F186B"/>
    <w:rsid w:val="007F4976"/>
    <w:rsid w:val="007F5842"/>
    <w:rsid w:val="007F674C"/>
    <w:rsid w:val="007F75A2"/>
    <w:rsid w:val="00800993"/>
    <w:rsid w:val="00801CA0"/>
    <w:rsid w:val="0080253D"/>
    <w:rsid w:val="00803222"/>
    <w:rsid w:val="008038B1"/>
    <w:rsid w:val="0080451F"/>
    <w:rsid w:val="00810C88"/>
    <w:rsid w:val="00812297"/>
    <w:rsid w:val="00814703"/>
    <w:rsid w:val="00822B33"/>
    <w:rsid w:val="008260A4"/>
    <w:rsid w:val="00827CE9"/>
    <w:rsid w:val="008361E4"/>
    <w:rsid w:val="0083721D"/>
    <w:rsid w:val="00840ACC"/>
    <w:rsid w:val="00844306"/>
    <w:rsid w:val="00855ED6"/>
    <w:rsid w:val="00861B34"/>
    <w:rsid w:val="0087100B"/>
    <w:rsid w:val="00871EEB"/>
    <w:rsid w:val="00875EB5"/>
    <w:rsid w:val="00885C9F"/>
    <w:rsid w:val="008873EF"/>
    <w:rsid w:val="008A1075"/>
    <w:rsid w:val="008A13DB"/>
    <w:rsid w:val="008A1DD9"/>
    <w:rsid w:val="008A50E5"/>
    <w:rsid w:val="008A71AB"/>
    <w:rsid w:val="008B2108"/>
    <w:rsid w:val="008B33DD"/>
    <w:rsid w:val="008B6D14"/>
    <w:rsid w:val="008C0810"/>
    <w:rsid w:val="008C4587"/>
    <w:rsid w:val="008E0016"/>
    <w:rsid w:val="008E23E9"/>
    <w:rsid w:val="008E6477"/>
    <w:rsid w:val="008E7016"/>
    <w:rsid w:val="008E7684"/>
    <w:rsid w:val="008F677F"/>
    <w:rsid w:val="008F684D"/>
    <w:rsid w:val="009002DF"/>
    <w:rsid w:val="00900FA8"/>
    <w:rsid w:val="00906EE2"/>
    <w:rsid w:val="00915527"/>
    <w:rsid w:val="009155C9"/>
    <w:rsid w:val="00923774"/>
    <w:rsid w:val="0092387D"/>
    <w:rsid w:val="00924336"/>
    <w:rsid w:val="00924367"/>
    <w:rsid w:val="00930A08"/>
    <w:rsid w:val="00935BA3"/>
    <w:rsid w:val="00940A42"/>
    <w:rsid w:val="00944A75"/>
    <w:rsid w:val="00944A7A"/>
    <w:rsid w:val="00946DAE"/>
    <w:rsid w:val="00955E2B"/>
    <w:rsid w:val="00956DDD"/>
    <w:rsid w:val="00957974"/>
    <w:rsid w:val="009608A9"/>
    <w:rsid w:val="00963E61"/>
    <w:rsid w:val="00965397"/>
    <w:rsid w:val="009673E9"/>
    <w:rsid w:val="00970A16"/>
    <w:rsid w:val="00971797"/>
    <w:rsid w:val="009736AE"/>
    <w:rsid w:val="00973CE0"/>
    <w:rsid w:val="0097548C"/>
    <w:rsid w:val="00985860"/>
    <w:rsid w:val="009862B2"/>
    <w:rsid w:val="00986F50"/>
    <w:rsid w:val="00991B34"/>
    <w:rsid w:val="00996D0A"/>
    <w:rsid w:val="009A23A3"/>
    <w:rsid w:val="009A6A16"/>
    <w:rsid w:val="009A6FE5"/>
    <w:rsid w:val="009C1957"/>
    <w:rsid w:val="009C3006"/>
    <w:rsid w:val="009C593C"/>
    <w:rsid w:val="009C5CFD"/>
    <w:rsid w:val="009D0417"/>
    <w:rsid w:val="009D0B50"/>
    <w:rsid w:val="009D0E1F"/>
    <w:rsid w:val="009D1788"/>
    <w:rsid w:val="009D1B90"/>
    <w:rsid w:val="009D43B9"/>
    <w:rsid w:val="009D7E6B"/>
    <w:rsid w:val="009E3037"/>
    <w:rsid w:val="009E3629"/>
    <w:rsid w:val="00A00186"/>
    <w:rsid w:val="00A021B5"/>
    <w:rsid w:val="00A20DA3"/>
    <w:rsid w:val="00A22A1F"/>
    <w:rsid w:val="00A30BE9"/>
    <w:rsid w:val="00A31FFE"/>
    <w:rsid w:val="00A328A0"/>
    <w:rsid w:val="00A4052D"/>
    <w:rsid w:val="00A416C8"/>
    <w:rsid w:val="00A433D2"/>
    <w:rsid w:val="00A44C6C"/>
    <w:rsid w:val="00A53B30"/>
    <w:rsid w:val="00A570D7"/>
    <w:rsid w:val="00A60269"/>
    <w:rsid w:val="00A62322"/>
    <w:rsid w:val="00A64C68"/>
    <w:rsid w:val="00A65D8E"/>
    <w:rsid w:val="00A67972"/>
    <w:rsid w:val="00A74419"/>
    <w:rsid w:val="00A74BF0"/>
    <w:rsid w:val="00A76AA6"/>
    <w:rsid w:val="00A838A4"/>
    <w:rsid w:val="00A87977"/>
    <w:rsid w:val="00A911DE"/>
    <w:rsid w:val="00A92297"/>
    <w:rsid w:val="00AA0EF7"/>
    <w:rsid w:val="00AA21AB"/>
    <w:rsid w:val="00AB06CC"/>
    <w:rsid w:val="00AB09AB"/>
    <w:rsid w:val="00AB1CAE"/>
    <w:rsid w:val="00AB2129"/>
    <w:rsid w:val="00AB2202"/>
    <w:rsid w:val="00AB368C"/>
    <w:rsid w:val="00AB5A8A"/>
    <w:rsid w:val="00AB6413"/>
    <w:rsid w:val="00AC1F7C"/>
    <w:rsid w:val="00AC41B8"/>
    <w:rsid w:val="00AC4FE6"/>
    <w:rsid w:val="00AD0F4E"/>
    <w:rsid w:val="00AD27E3"/>
    <w:rsid w:val="00AE01F2"/>
    <w:rsid w:val="00AE06AE"/>
    <w:rsid w:val="00AE1854"/>
    <w:rsid w:val="00AE1FF1"/>
    <w:rsid w:val="00AE36E2"/>
    <w:rsid w:val="00AE7AC5"/>
    <w:rsid w:val="00AF0E7D"/>
    <w:rsid w:val="00AF166A"/>
    <w:rsid w:val="00AF5BFB"/>
    <w:rsid w:val="00B011C9"/>
    <w:rsid w:val="00B05E17"/>
    <w:rsid w:val="00B11D3E"/>
    <w:rsid w:val="00B139C4"/>
    <w:rsid w:val="00B2278B"/>
    <w:rsid w:val="00B2323B"/>
    <w:rsid w:val="00B27473"/>
    <w:rsid w:val="00B3382B"/>
    <w:rsid w:val="00B34CCA"/>
    <w:rsid w:val="00B37E10"/>
    <w:rsid w:val="00B43D5B"/>
    <w:rsid w:val="00B57362"/>
    <w:rsid w:val="00B577BF"/>
    <w:rsid w:val="00B64D54"/>
    <w:rsid w:val="00B7166A"/>
    <w:rsid w:val="00B72E2C"/>
    <w:rsid w:val="00B820E7"/>
    <w:rsid w:val="00B866BA"/>
    <w:rsid w:val="00B87F14"/>
    <w:rsid w:val="00B911DB"/>
    <w:rsid w:val="00B92159"/>
    <w:rsid w:val="00B92B58"/>
    <w:rsid w:val="00B94FE6"/>
    <w:rsid w:val="00B95351"/>
    <w:rsid w:val="00B95919"/>
    <w:rsid w:val="00B96DF1"/>
    <w:rsid w:val="00BA161B"/>
    <w:rsid w:val="00BA3FCE"/>
    <w:rsid w:val="00BA5A7E"/>
    <w:rsid w:val="00BA655E"/>
    <w:rsid w:val="00BA7385"/>
    <w:rsid w:val="00BA78FB"/>
    <w:rsid w:val="00BB3FC4"/>
    <w:rsid w:val="00BB531B"/>
    <w:rsid w:val="00BC270D"/>
    <w:rsid w:val="00BD0259"/>
    <w:rsid w:val="00BD04DF"/>
    <w:rsid w:val="00BE4836"/>
    <w:rsid w:val="00BE7151"/>
    <w:rsid w:val="00BF3FAD"/>
    <w:rsid w:val="00BF6DC0"/>
    <w:rsid w:val="00C003BF"/>
    <w:rsid w:val="00C01139"/>
    <w:rsid w:val="00C01A03"/>
    <w:rsid w:val="00C03465"/>
    <w:rsid w:val="00C036CB"/>
    <w:rsid w:val="00C06861"/>
    <w:rsid w:val="00C118E6"/>
    <w:rsid w:val="00C13266"/>
    <w:rsid w:val="00C14768"/>
    <w:rsid w:val="00C160E8"/>
    <w:rsid w:val="00C24F1B"/>
    <w:rsid w:val="00C25F03"/>
    <w:rsid w:val="00C3093B"/>
    <w:rsid w:val="00C32E84"/>
    <w:rsid w:val="00C37E42"/>
    <w:rsid w:val="00C40487"/>
    <w:rsid w:val="00C463D3"/>
    <w:rsid w:val="00C53E26"/>
    <w:rsid w:val="00C55148"/>
    <w:rsid w:val="00C6107A"/>
    <w:rsid w:val="00C67EE4"/>
    <w:rsid w:val="00C717DE"/>
    <w:rsid w:val="00C72301"/>
    <w:rsid w:val="00C84F8C"/>
    <w:rsid w:val="00C853F8"/>
    <w:rsid w:val="00C86526"/>
    <w:rsid w:val="00C907F9"/>
    <w:rsid w:val="00C96658"/>
    <w:rsid w:val="00CA22E6"/>
    <w:rsid w:val="00CA6579"/>
    <w:rsid w:val="00CA71FF"/>
    <w:rsid w:val="00CA781D"/>
    <w:rsid w:val="00CB068B"/>
    <w:rsid w:val="00CC22B7"/>
    <w:rsid w:val="00CC5550"/>
    <w:rsid w:val="00CC7F0A"/>
    <w:rsid w:val="00CD0A5E"/>
    <w:rsid w:val="00CD19CC"/>
    <w:rsid w:val="00CD2FCC"/>
    <w:rsid w:val="00CD6246"/>
    <w:rsid w:val="00CD67FD"/>
    <w:rsid w:val="00CD6911"/>
    <w:rsid w:val="00CE2A3E"/>
    <w:rsid w:val="00CE2D59"/>
    <w:rsid w:val="00CE2DF2"/>
    <w:rsid w:val="00CE3A29"/>
    <w:rsid w:val="00CE7800"/>
    <w:rsid w:val="00CF0832"/>
    <w:rsid w:val="00CF2E39"/>
    <w:rsid w:val="00CF4D71"/>
    <w:rsid w:val="00CF704D"/>
    <w:rsid w:val="00D1013A"/>
    <w:rsid w:val="00D12491"/>
    <w:rsid w:val="00D202F6"/>
    <w:rsid w:val="00D2352F"/>
    <w:rsid w:val="00D2373C"/>
    <w:rsid w:val="00D23ABB"/>
    <w:rsid w:val="00D25168"/>
    <w:rsid w:val="00D27870"/>
    <w:rsid w:val="00D30FDE"/>
    <w:rsid w:val="00D319BF"/>
    <w:rsid w:val="00D32764"/>
    <w:rsid w:val="00D35A75"/>
    <w:rsid w:val="00D37130"/>
    <w:rsid w:val="00D411AE"/>
    <w:rsid w:val="00D42EA9"/>
    <w:rsid w:val="00D438FA"/>
    <w:rsid w:val="00D44969"/>
    <w:rsid w:val="00D46829"/>
    <w:rsid w:val="00D47C6F"/>
    <w:rsid w:val="00D52441"/>
    <w:rsid w:val="00D53AD9"/>
    <w:rsid w:val="00D648C2"/>
    <w:rsid w:val="00D76CE2"/>
    <w:rsid w:val="00D808FA"/>
    <w:rsid w:val="00D90D36"/>
    <w:rsid w:val="00D90DDE"/>
    <w:rsid w:val="00D9153D"/>
    <w:rsid w:val="00D935C4"/>
    <w:rsid w:val="00D9542B"/>
    <w:rsid w:val="00DB4165"/>
    <w:rsid w:val="00DC141D"/>
    <w:rsid w:val="00DC1AD9"/>
    <w:rsid w:val="00DC42F1"/>
    <w:rsid w:val="00DC48BF"/>
    <w:rsid w:val="00DC5260"/>
    <w:rsid w:val="00DC7CA5"/>
    <w:rsid w:val="00DD17FD"/>
    <w:rsid w:val="00DF65C4"/>
    <w:rsid w:val="00E04352"/>
    <w:rsid w:val="00E06691"/>
    <w:rsid w:val="00E27226"/>
    <w:rsid w:val="00E27244"/>
    <w:rsid w:val="00E37DBD"/>
    <w:rsid w:val="00E41581"/>
    <w:rsid w:val="00E41C0E"/>
    <w:rsid w:val="00E44002"/>
    <w:rsid w:val="00E476B3"/>
    <w:rsid w:val="00E47EE4"/>
    <w:rsid w:val="00E56B5E"/>
    <w:rsid w:val="00E639EC"/>
    <w:rsid w:val="00E6504B"/>
    <w:rsid w:val="00E6698E"/>
    <w:rsid w:val="00E70DAE"/>
    <w:rsid w:val="00E73379"/>
    <w:rsid w:val="00E741C6"/>
    <w:rsid w:val="00E76B62"/>
    <w:rsid w:val="00E76FCE"/>
    <w:rsid w:val="00E804B8"/>
    <w:rsid w:val="00E84967"/>
    <w:rsid w:val="00E856C9"/>
    <w:rsid w:val="00E87770"/>
    <w:rsid w:val="00E90405"/>
    <w:rsid w:val="00E92760"/>
    <w:rsid w:val="00E93A27"/>
    <w:rsid w:val="00E95935"/>
    <w:rsid w:val="00EA02E1"/>
    <w:rsid w:val="00EB3F8F"/>
    <w:rsid w:val="00EB6540"/>
    <w:rsid w:val="00EC249B"/>
    <w:rsid w:val="00EC3839"/>
    <w:rsid w:val="00ED0327"/>
    <w:rsid w:val="00ED50E3"/>
    <w:rsid w:val="00EE2BAB"/>
    <w:rsid w:val="00EE3E44"/>
    <w:rsid w:val="00EE51F4"/>
    <w:rsid w:val="00EE763E"/>
    <w:rsid w:val="00F00143"/>
    <w:rsid w:val="00F03D25"/>
    <w:rsid w:val="00F04F06"/>
    <w:rsid w:val="00F106AF"/>
    <w:rsid w:val="00F15C50"/>
    <w:rsid w:val="00F2233B"/>
    <w:rsid w:val="00F31948"/>
    <w:rsid w:val="00F32498"/>
    <w:rsid w:val="00F40697"/>
    <w:rsid w:val="00F41E4F"/>
    <w:rsid w:val="00F4495F"/>
    <w:rsid w:val="00F44F84"/>
    <w:rsid w:val="00F51CD7"/>
    <w:rsid w:val="00F53BA1"/>
    <w:rsid w:val="00F53BC6"/>
    <w:rsid w:val="00F54FA7"/>
    <w:rsid w:val="00F57490"/>
    <w:rsid w:val="00F7028A"/>
    <w:rsid w:val="00F70374"/>
    <w:rsid w:val="00F70BA4"/>
    <w:rsid w:val="00F71726"/>
    <w:rsid w:val="00F73702"/>
    <w:rsid w:val="00F74B6F"/>
    <w:rsid w:val="00F753D8"/>
    <w:rsid w:val="00F82518"/>
    <w:rsid w:val="00F92502"/>
    <w:rsid w:val="00F92789"/>
    <w:rsid w:val="00F9785F"/>
    <w:rsid w:val="00FA004D"/>
    <w:rsid w:val="00FA13BB"/>
    <w:rsid w:val="00FA1490"/>
    <w:rsid w:val="00FA14A8"/>
    <w:rsid w:val="00FA2B22"/>
    <w:rsid w:val="00FA4643"/>
    <w:rsid w:val="00FA537E"/>
    <w:rsid w:val="00FB3D6C"/>
    <w:rsid w:val="00FD1BC4"/>
    <w:rsid w:val="00FD1E0C"/>
    <w:rsid w:val="00FD3682"/>
    <w:rsid w:val="00FD536A"/>
    <w:rsid w:val="00FE07A1"/>
    <w:rsid w:val="00FE5A19"/>
    <w:rsid w:val="00FE6248"/>
    <w:rsid w:val="00FE6839"/>
    <w:rsid w:val="00FE7E39"/>
    <w:rsid w:val="00FF035F"/>
    <w:rsid w:val="00FF4786"/>
    <w:rsid w:val="1BE453D0"/>
    <w:rsid w:val="2C897947"/>
    <w:rsid w:val="47995FDF"/>
    <w:rsid w:val="679D5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C7635"/>
  <w15:docId w15:val="{B48A2AD2-8528-4D06-9A27-A25E2BE4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nhideWhenUsed="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uiPriority="22"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semiHidden="1" w:uiPriority="0" w:unhideWhenUsed="1"/>
    <w:lsdException w:name="HTML Preformatted" w:uiPriority="0"/>
    <w:lsdException w:name="HTML Sample" w:uiPriority="0"/>
    <w:lsdException w:name="HTML Typewriter" w:uiPriority="0"/>
    <w:lsdException w:name="HTML Variable" w:uiPriority="0"/>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eastAsia="en-US"/>
    </w:rPr>
  </w:style>
  <w:style w:type="paragraph" w:styleId="Titre3">
    <w:name w:val="heading 3"/>
    <w:basedOn w:val="Normal"/>
    <w:link w:val="Titre3Car"/>
    <w:uiPriority w:val="9"/>
    <w:qFormat/>
    <w:rsid w:val="00861B34"/>
    <w:pPr>
      <w:spacing w:before="100" w:beforeAutospacing="1" w:after="100" w:afterAutospacing="1" w:line="240" w:lineRule="auto"/>
      <w:outlineLvl w:val="2"/>
    </w:pPr>
    <w:rPr>
      <w:rFonts w:ascii="Times New Roman" w:eastAsia="Times New Roman" w:hAnsi="Times New Roman"/>
      <w:b/>
      <w:bCs/>
      <w:sz w:val="27"/>
      <w:szCs w:val="27"/>
      <w:lang w:eastAsia="fr-FR"/>
    </w:rPr>
  </w:style>
  <w:style w:type="paragraph" w:styleId="Titre4">
    <w:name w:val="heading 4"/>
    <w:basedOn w:val="Normal"/>
    <w:next w:val="Normal"/>
    <w:link w:val="Titre4Car"/>
    <w:semiHidden/>
    <w:unhideWhenUsed/>
    <w:qFormat/>
    <w:rsid w:val="008A107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61B34"/>
    <w:rPr>
      <w:rFonts w:eastAsia="Times New Roman"/>
      <w:b/>
      <w:bCs/>
      <w:sz w:val="27"/>
      <w:szCs w:val="27"/>
    </w:rPr>
  </w:style>
  <w:style w:type="character" w:customStyle="1" w:styleId="Titre4Car">
    <w:name w:val="Titre 4 Car"/>
    <w:basedOn w:val="Policepardfaut"/>
    <w:link w:val="Titre4"/>
    <w:semiHidden/>
    <w:rsid w:val="008A1075"/>
    <w:rPr>
      <w:rFonts w:asciiTheme="majorHAnsi" w:eastAsiaTheme="majorEastAsia" w:hAnsiTheme="majorHAnsi" w:cstheme="majorBidi"/>
      <w:i/>
      <w:iCs/>
      <w:color w:val="2E74B5" w:themeColor="accent1" w:themeShade="BF"/>
      <w:sz w:val="22"/>
      <w:szCs w:val="22"/>
      <w:lang w:eastAsia="en-US"/>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59A3"/>
    <w:rPr>
      <w:rFonts w:ascii="Calibri" w:eastAsia="Calibri" w:hAnsi="Calibri"/>
      <w:sz w:val="22"/>
      <w:szCs w:val="22"/>
      <w:lang w:eastAsia="en-US"/>
    </w:rPr>
  </w:style>
  <w:style w:type="paragraph" w:styleId="En-tte">
    <w:name w:val="header"/>
    <w:basedOn w:val="Normal"/>
    <w:pPr>
      <w:pBdr>
        <w:bottom w:val="single" w:sz="6" w:space="1" w:color="auto"/>
      </w:pBdr>
      <w:tabs>
        <w:tab w:val="center" w:pos="4153"/>
        <w:tab w:val="right" w:pos="8306"/>
      </w:tabs>
      <w:snapToGrid w:val="0"/>
      <w:jc w:val="center"/>
    </w:pPr>
    <w:rPr>
      <w:sz w:val="18"/>
      <w:szCs w:val="18"/>
    </w:r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rsid w:val="005720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5720EF"/>
    <w:rPr>
      <w:rFonts w:ascii="Segoe UI" w:eastAsia="Calibri" w:hAnsi="Segoe UI" w:cs="Segoe UI"/>
      <w:sz w:val="18"/>
      <w:szCs w:val="18"/>
      <w:lang w:eastAsia="en-US"/>
    </w:rPr>
  </w:style>
  <w:style w:type="character" w:styleId="lev">
    <w:name w:val="Strong"/>
    <w:basedOn w:val="Policepardfaut"/>
    <w:uiPriority w:val="22"/>
    <w:qFormat/>
    <w:rsid w:val="00861B34"/>
    <w:rPr>
      <w:b/>
      <w:bCs/>
    </w:rPr>
  </w:style>
  <w:style w:type="table" w:styleId="Grilledutableau">
    <w:name w:val="Table Grid"/>
    <w:basedOn w:val="TableauNormal"/>
    <w:uiPriority w:val="99"/>
    <w:rsid w:val="00B23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4A2A3C"/>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4A2A3C"/>
    <w:rPr>
      <w:rFonts w:asciiTheme="minorHAnsi" w:eastAsiaTheme="minorHAnsi" w:hAnsiTheme="minorHAnsi" w:cstheme="minorBidi"/>
      <w:lang w:eastAsia="en-US"/>
    </w:rPr>
  </w:style>
  <w:style w:type="character" w:styleId="Appelnotedebasdep">
    <w:name w:val="footnote reference"/>
    <w:basedOn w:val="Policepardfaut"/>
    <w:uiPriority w:val="99"/>
    <w:unhideWhenUsed/>
    <w:rsid w:val="004A2A3C"/>
    <w:rPr>
      <w:vertAlign w:val="superscript"/>
    </w:rPr>
  </w:style>
  <w:style w:type="character" w:styleId="Lienhypertexte">
    <w:name w:val="Hyperlink"/>
    <w:basedOn w:val="Policepardfaut"/>
    <w:uiPriority w:val="99"/>
    <w:unhideWhenUsed/>
    <w:rsid w:val="004338EF"/>
    <w:rPr>
      <w:color w:val="0563C1"/>
      <w:u w:val="single"/>
    </w:rPr>
  </w:style>
  <w:style w:type="character" w:styleId="Lienhypertextesuivivisit">
    <w:name w:val="FollowedHyperlink"/>
    <w:basedOn w:val="Policepardfaut"/>
    <w:uiPriority w:val="99"/>
    <w:unhideWhenUsed/>
    <w:rsid w:val="004338EF"/>
    <w:rPr>
      <w:color w:val="954F72"/>
      <w:u w:val="single"/>
    </w:rPr>
  </w:style>
  <w:style w:type="paragraph" w:customStyle="1" w:styleId="msonormal0">
    <w:name w:val="msonormal"/>
    <w:basedOn w:val="Normal"/>
    <w:rsid w:val="004338EF"/>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font5">
    <w:name w:val="font5"/>
    <w:basedOn w:val="Normal"/>
    <w:rsid w:val="004338EF"/>
    <w:pPr>
      <w:spacing w:before="100" w:beforeAutospacing="1" w:after="100" w:afterAutospacing="1" w:line="240" w:lineRule="auto"/>
    </w:pPr>
    <w:rPr>
      <w:rFonts w:eastAsia="Times New Roman" w:cs="Calibri"/>
      <w:color w:val="000000"/>
      <w:lang w:eastAsia="fr-FR"/>
    </w:rPr>
  </w:style>
  <w:style w:type="paragraph" w:customStyle="1" w:styleId="font6">
    <w:name w:val="font6"/>
    <w:basedOn w:val="Normal"/>
    <w:rsid w:val="004338EF"/>
    <w:pPr>
      <w:spacing w:before="100" w:beforeAutospacing="1" w:after="100" w:afterAutospacing="1" w:line="240" w:lineRule="auto"/>
    </w:pPr>
    <w:rPr>
      <w:rFonts w:ascii="Times New Roman" w:eastAsia="Times New Roman" w:hAnsi="Times New Roman"/>
      <w:color w:val="000000"/>
      <w:lang w:eastAsia="fr-FR"/>
    </w:rPr>
  </w:style>
  <w:style w:type="paragraph" w:customStyle="1" w:styleId="font7">
    <w:name w:val="font7"/>
    <w:basedOn w:val="Normal"/>
    <w:rsid w:val="004338EF"/>
    <w:pPr>
      <w:spacing w:before="100" w:beforeAutospacing="1" w:after="100" w:afterAutospacing="1" w:line="240" w:lineRule="auto"/>
    </w:pPr>
    <w:rPr>
      <w:rFonts w:ascii="Times New Roman" w:eastAsia="Times New Roman" w:hAnsi="Times New Roman"/>
      <w:b/>
      <w:bCs/>
      <w:color w:val="000000"/>
      <w:lang w:eastAsia="fr-FR"/>
    </w:rPr>
  </w:style>
  <w:style w:type="paragraph" w:customStyle="1" w:styleId="font8">
    <w:name w:val="font8"/>
    <w:basedOn w:val="Normal"/>
    <w:rsid w:val="004338EF"/>
    <w:pPr>
      <w:spacing w:before="100" w:beforeAutospacing="1" w:after="100" w:afterAutospacing="1" w:line="240" w:lineRule="auto"/>
    </w:pPr>
    <w:rPr>
      <w:rFonts w:ascii="Times New Roman" w:eastAsia="Times New Roman" w:hAnsi="Times New Roman"/>
      <w:b/>
      <w:bCs/>
      <w:i/>
      <w:iCs/>
      <w:color w:val="000000"/>
      <w:lang w:eastAsia="fr-FR"/>
    </w:rPr>
  </w:style>
  <w:style w:type="paragraph" w:customStyle="1" w:styleId="font9">
    <w:name w:val="font9"/>
    <w:basedOn w:val="Normal"/>
    <w:rsid w:val="004338EF"/>
    <w:pPr>
      <w:spacing w:before="100" w:beforeAutospacing="1" w:after="100" w:afterAutospacing="1" w:line="240" w:lineRule="auto"/>
    </w:pPr>
    <w:rPr>
      <w:rFonts w:ascii="Times New Roman" w:eastAsia="Times New Roman" w:hAnsi="Times New Roman"/>
      <w:i/>
      <w:iCs/>
      <w:color w:val="000000"/>
      <w:lang w:eastAsia="fr-FR"/>
    </w:rPr>
  </w:style>
  <w:style w:type="paragraph" w:customStyle="1" w:styleId="font10">
    <w:name w:val="font10"/>
    <w:basedOn w:val="Normal"/>
    <w:rsid w:val="004338EF"/>
    <w:pPr>
      <w:spacing w:before="100" w:beforeAutospacing="1" w:after="100" w:afterAutospacing="1" w:line="240" w:lineRule="auto"/>
    </w:pPr>
    <w:rPr>
      <w:rFonts w:ascii="Times New Roman" w:eastAsia="Times New Roman" w:hAnsi="Times New Roman"/>
      <w:color w:val="FF0000"/>
      <w:lang w:eastAsia="fr-FR"/>
    </w:rPr>
  </w:style>
  <w:style w:type="paragraph" w:customStyle="1" w:styleId="font11">
    <w:name w:val="font11"/>
    <w:basedOn w:val="Normal"/>
    <w:rsid w:val="004338EF"/>
    <w:pPr>
      <w:spacing w:before="100" w:beforeAutospacing="1" w:after="100" w:afterAutospacing="1" w:line="240" w:lineRule="auto"/>
    </w:pPr>
    <w:rPr>
      <w:rFonts w:ascii="Times New Roman" w:eastAsia="Times New Roman" w:hAnsi="Times New Roman"/>
      <w:b/>
      <w:bCs/>
      <w:i/>
      <w:iCs/>
      <w:color w:val="000000"/>
      <w:sz w:val="24"/>
      <w:szCs w:val="24"/>
      <w:lang w:eastAsia="fr-FR"/>
    </w:rPr>
  </w:style>
  <w:style w:type="paragraph" w:customStyle="1" w:styleId="xl63">
    <w:name w:val="xl63"/>
    <w:basedOn w:val="Normal"/>
    <w:rsid w:val="004338EF"/>
    <w:pP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4">
    <w:name w:val="xl64"/>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fr-FR"/>
    </w:rPr>
  </w:style>
  <w:style w:type="paragraph" w:customStyle="1" w:styleId="xl65">
    <w:name w:val="xl65"/>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6">
    <w:name w:val="xl66"/>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67">
    <w:name w:val="xl67"/>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68">
    <w:name w:val="xl68"/>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9">
    <w:name w:val="xl69"/>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70">
    <w:name w:val="xl70"/>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fr-FR"/>
    </w:rPr>
  </w:style>
  <w:style w:type="paragraph" w:customStyle="1" w:styleId="xl71">
    <w:name w:val="xl71"/>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2">
    <w:name w:val="xl72"/>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73">
    <w:name w:val="xl73"/>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74">
    <w:name w:val="xl74"/>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5">
    <w:name w:val="xl75"/>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24"/>
      <w:szCs w:val="24"/>
      <w:lang w:eastAsia="fr-FR"/>
    </w:rPr>
  </w:style>
  <w:style w:type="paragraph" w:customStyle="1" w:styleId="xl76">
    <w:name w:val="xl76"/>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77">
    <w:name w:val="xl77"/>
    <w:basedOn w:val="Normal"/>
    <w:rsid w:val="004338EF"/>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8">
    <w:name w:val="xl78"/>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9">
    <w:name w:val="xl79"/>
    <w:basedOn w:val="Normal"/>
    <w:rsid w:val="00433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0">
    <w:name w:val="xl80"/>
    <w:basedOn w:val="Normal"/>
    <w:rsid w:val="00433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1">
    <w:name w:val="xl81"/>
    <w:basedOn w:val="Normal"/>
    <w:rsid w:val="004338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2">
    <w:name w:val="xl82"/>
    <w:basedOn w:val="Normal"/>
    <w:rsid w:val="004338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3">
    <w:name w:val="xl83"/>
    <w:basedOn w:val="Normal"/>
    <w:rsid w:val="00433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4">
    <w:name w:val="xl84"/>
    <w:basedOn w:val="Normal"/>
    <w:rsid w:val="00433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5">
    <w:name w:val="xl85"/>
    <w:basedOn w:val="Normal"/>
    <w:rsid w:val="004338E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6">
    <w:name w:val="xl86"/>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7">
    <w:name w:val="xl87"/>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8">
    <w:name w:val="xl88"/>
    <w:basedOn w:val="Normal"/>
    <w:rsid w:val="004338E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fr-FR"/>
    </w:rPr>
  </w:style>
  <w:style w:type="paragraph" w:customStyle="1" w:styleId="xl89">
    <w:name w:val="xl89"/>
    <w:basedOn w:val="Normal"/>
    <w:rsid w:val="004338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i/>
      <w:iCs/>
      <w:sz w:val="24"/>
      <w:szCs w:val="24"/>
      <w:u w:val="single"/>
      <w:lang w:eastAsia="fr-FR"/>
    </w:rPr>
  </w:style>
  <w:style w:type="paragraph" w:customStyle="1" w:styleId="xl90">
    <w:name w:val="xl90"/>
    <w:basedOn w:val="Normal"/>
    <w:rsid w:val="004338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i/>
      <w:iCs/>
      <w:sz w:val="24"/>
      <w:szCs w:val="24"/>
      <w:lang w:eastAsia="fr-FR"/>
    </w:rPr>
  </w:style>
  <w:style w:type="paragraph" w:customStyle="1" w:styleId="xl91">
    <w:name w:val="xl91"/>
    <w:basedOn w:val="Normal"/>
    <w:rsid w:val="004338EF"/>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92">
    <w:name w:val="xl92"/>
    <w:basedOn w:val="Normal"/>
    <w:rsid w:val="004338EF"/>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93">
    <w:name w:val="xl93"/>
    <w:basedOn w:val="Normal"/>
    <w:rsid w:val="004338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i/>
      <w:iCs/>
      <w:sz w:val="24"/>
      <w:szCs w:val="24"/>
      <w:lang w:eastAsia="fr-FR"/>
    </w:rPr>
  </w:style>
  <w:style w:type="paragraph" w:customStyle="1" w:styleId="xl94">
    <w:name w:val="xl94"/>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95">
    <w:name w:val="xl95"/>
    <w:basedOn w:val="Normal"/>
    <w:rsid w:val="004338EF"/>
    <w:pPr>
      <w:pBdr>
        <w:top w:val="single" w:sz="4" w:space="0" w:color="auto"/>
        <w:left w:val="single" w:sz="4" w:space="0" w:color="auto"/>
        <w:bottom w:val="single" w:sz="4" w:space="0" w:color="auto"/>
        <w:right w:val="single" w:sz="4" w:space="0" w:color="auto"/>
      </w:pBdr>
      <w:shd w:val="clear" w:color="000000" w:fill="BDD6EE"/>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96">
    <w:name w:val="xl96"/>
    <w:basedOn w:val="Normal"/>
    <w:rsid w:val="004338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b/>
      <w:bCs/>
      <w:i/>
      <w:iCs/>
      <w:sz w:val="24"/>
      <w:szCs w:val="24"/>
      <w:lang w:eastAsia="fr-FR"/>
    </w:rPr>
  </w:style>
  <w:style w:type="paragraph" w:customStyle="1" w:styleId="xl97">
    <w:name w:val="xl97"/>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FF0000"/>
      <w:sz w:val="24"/>
      <w:szCs w:val="24"/>
      <w:lang w:eastAsia="fr-FR"/>
    </w:rPr>
  </w:style>
  <w:style w:type="paragraph" w:customStyle="1" w:styleId="xl98">
    <w:name w:val="xl98"/>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99">
    <w:name w:val="xl99"/>
    <w:basedOn w:val="Normal"/>
    <w:rsid w:val="004338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0">
    <w:name w:val="xl100"/>
    <w:basedOn w:val="Normal"/>
    <w:rsid w:val="004338E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1">
    <w:name w:val="xl101"/>
    <w:basedOn w:val="Normal"/>
    <w:rsid w:val="004338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2">
    <w:name w:val="xl102"/>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fr-FR"/>
    </w:rPr>
  </w:style>
  <w:style w:type="paragraph" w:customStyle="1" w:styleId="xl103">
    <w:name w:val="xl103"/>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b/>
      <w:bCs/>
      <w:sz w:val="24"/>
      <w:szCs w:val="24"/>
      <w:lang w:eastAsia="fr-FR"/>
    </w:rPr>
  </w:style>
  <w:style w:type="paragraph" w:customStyle="1" w:styleId="xl104">
    <w:name w:val="xl104"/>
    <w:basedOn w:val="Normal"/>
    <w:rsid w:val="004338E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both"/>
      <w:textAlignment w:val="center"/>
    </w:pPr>
    <w:rPr>
      <w:rFonts w:ascii="Times New Roman" w:eastAsia="Times New Roman" w:hAnsi="Times New Roman"/>
      <w:b/>
      <w:bCs/>
      <w:i/>
      <w:iCs/>
      <w:sz w:val="24"/>
      <w:szCs w:val="24"/>
      <w:lang w:eastAsia="fr-FR"/>
    </w:rPr>
  </w:style>
  <w:style w:type="paragraph" w:customStyle="1" w:styleId="xl105">
    <w:name w:val="xl105"/>
    <w:basedOn w:val="Normal"/>
    <w:rsid w:val="004338E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b/>
      <w:bCs/>
      <w:sz w:val="26"/>
      <w:szCs w:val="26"/>
      <w:lang w:eastAsia="fr-FR"/>
    </w:rPr>
  </w:style>
  <w:style w:type="paragraph" w:customStyle="1" w:styleId="xl106">
    <w:name w:val="xl106"/>
    <w:basedOn w:val="Normal"/>
    <w:rsid w:val="004338EF"/>
    <w:pPr>
      <w:pBdr>
        <w:top w:val="single" w:sz="4" w:space="0" w:color="auto"/>
        <w:left w:val="single" w:sz="4" w:space="0" w:color="auto"/>
        <w:bottom w:val="single" w:sz="4" w:space="0" w:color="auto"/>
        <w:right w:val="single" w:sz="4" w:space="0" w:color="auto"/>
      </w:pBdr>
      <w:shd w:val="clear" w:color="000000" w:fill="9CC2E5"/>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7">
    <w:name w:val="xl107"/>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8">
    <w:name w:val="xl108"/>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9">
    <w:name w:val="xl109"/>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110">
    <w:name w:val="xl110"/>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12">
    <w:name w:val="xl112"/>
    <w:basedOn w:val="Normal"/>
    <w:rsid w:val="00433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fr-FR"/>
    </w:rPr>
  </w:style>
  <w:style w:type="paragraph" w:customStyle="1" w:styleId="xl113">
    <w:name w:val="xl113"/>
    <w:basedOn w:val="Normal"/>
    <w:rsid w:val="00433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4">
    <w:name w:val="xl114"/>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5">
    <w:name w:val="xl115"/>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116">
    <w:name w:val="xl116"/>
    <w:basedOn w:val="Normal"/>
    <w:rsid w:val="004338E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7">
    <w:name w:val="xl117"/>
    <w:basedOn w:val="Normal"/>
    <w:rsid w:val="004338E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8">
    <w:name w:val="xl118"/>
    <w:basedOn w:val="Normal"/>
    <w:rsid w:val="004338E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9">
    <w:name w:val="xl119"/>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0">
    <w:name w:val="xl120"/>
    <w:basedOn w:val="Normal"/>
    <w:rsid w:val="004338EF"/>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1">
    <w:name w:val="xl121"/>
    <w:basedOn w:val="Normal"/>
    <w:rsid w:val="004338EF"/>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2">
    <w:name w:val="xl122"/>
    <w:basedOn w:val="Normal"/>
    <w:rsid w:val="004338EF"/>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3">
    <w:name w:val="xl123"/>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4">
    <w:name w:val="xl124"/>
    <w:basedOn w:val="Normal"/>
    <w:rsid w:val="004338E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5">
    <w:name w:val="xl125"/>
    <w:basedOn w:val="Normal"/>
    <w:rsid w:val="004338E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6">
    <w:name w:val="xl126"/>
    <w:basedOn w:val="Normal"/>
    <w:rsid w:val="004338E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7">
    <w:name w:val="xl127"/>
    <w:basedOn w:val="Normal"/>
    <w:rsid w:val="004338E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8">
    <w:name w:val="xl128"/>
    <w:basedOn w:val="Normal"/>
    <w:rsid w:val="004338E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9">
    <w:name w:val="xl129"/>
    <w:basedOn w:val="Normal"/>
    <w:rsid w:val="004338E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30">
    <w:name w:val="xl130"/>
    <w:basedOn w:val="Normal"/>
    <w:rsid w:val="004338EF"/>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Times New Roman" w:eastAsia="Times New Roman" w:hAnsi="Times New Roman"/>
      <w:b/>
      <w:bCs/>
      <w:sz w:val="28"/>
      <w:szCs w:val="28"/>
      <w:lang w:eastAsia="fr-FR"/>
    </w:rPr>
  </w:style>
  <w:style w:type="paragraph" w:customStyle="1" w:styleId="xl131">
    <w:name w:val="xl131"/>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132">
    <w:name w:val="xl132"/>
    <w:basedOn w:val="Normal"/>
    <w:rsid w:val="004338EF"/>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sz w:val="28"/>
      <w:szCs w:val="28"/>
      <w:lang w:eastAsia="fr-FR"/>
    </w:rPr>
  </w:style>
  <w:style w:type="paragraph" w:customStyle="1" w:styleId="xl133">
    <w:name w:val="xl133"/>
    <w:basedOn w:val="Normal"/>
    <w:rsid w:val="004338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7800">
      <w:bodyDiv w:val="1"/>
      <w:marLeft w:val="0"/>
      <w:marRight w:val="0"/>
      <w:marTop w:val="0"/>
      <w:marBottom w:val="0"/>
      <w:divBdr>
        <w:top w:val="none" w:sz="0" w:space="0" w:color="auto"/>
        <w:left w:val="none" w:sz="0" w:space="0" w:color="auto"/>
        <w:bottom w:val="none" w:sz="0" w:space="0" w:color="auto"/>
        <w:right w:val="none" w:sz="0" w:space="0" w:color="auto"/>
      </w:divBdr>
    </w:div>
    <w:div w:id="329721119">
      <w:bodyDiv w:val="1"/>
      <w:marLeft w:val="0"/>
      <w:marRight w:val="0"/>
      <w:marTop w:val="0"/>
      <w:marBottom w:val="0"/>
      <w:divBdr>
        <w:top w:val="none" w:sz="0" w:space="0" w:color="auto"/>
        <w:left w:val="none" w:sz="0" w:space="0" w:color="auto"/>
        <w:bottom w:val="none" w:sz="0" w:space="0" w:color="auto"/>
        <w:right w:val="none" w:sz="0" w:space="0" w:color="auto"/>
      </w:divBdr>
    </w:div>
    <w:div w:id="558514427">
      <w:bodyDiv w:val="1"/>
      <w:marLeft w:val="0"/>
      <w:marRight w:val="0"/>
      <w:marTop w:val="0"/>
      <w:marBottom w:val="0"/>
      <w:divBdr>
        <w:top w:val="none" w:sz="0" w:space="0" w:color="auto"/>
        <w:left w:val="none" w:sz="0" w:space="0" w:color="auto"/>
        <w:bottom w:val="none" w:sz="0" w:space="0" w:color="auto"/>
        <w:right w:val="none" w:sz="0" w:space="0" w:color="auto"/>
      </w:divBdr>
    </w:div>
    <w:div w:id="838157439">
      <w:bodyDiv w:val="1"/>
      <w:marLeft w:val="0"/>
      <w:marRight w:val="0"/>
      <w:marTop w:val="0"/>
      <w:marBottom w:val="0"/>
      <w:divBdr>
        <w:top w:val="none" w:sz="0" w:space="0" w:color="auto"/>
        <w:left w:val="none" w:sz="0" w:space="0" w:color="auto"/>
        <w:bottom w:val="none" w:sz="0" w:space="0" w:color="auto"/>
        <w:right w:val="none" w:sz="0" w:space="0" w:color="auto"/>
      </w:divBdr>
    </w:div>
    <w:div w:id="1112555983">
      <w:bodyDiv w:val="1"/>
      <w:marLeft w:val="0"/>
      <w:marRight w:val="0"/>
      <w:marTop w:val="0"/>
      <w:marBottom w:val="0"/>
      <w:divBdr>
        <w:top w:val="none" w:sz="0" w:space="0" w:color="auto"/>
        <w:left w:val="none" w:sz="0" w:space="0" w:color="auto"/>
        <w:bottom w:val="none" w:sz="0" w:space="0" w:color="auto"/>
        <w:right w:val="none" w:sz="0" w:space="0" w:color="auto"/>
      </w:divBdr>
    </w:div>
    <w:div w:id="1195774100">
      <w:bodyDiv w:val="1"/>
      <w:marLeft w:val="0"/>
      <w:marRight w:val="0"/>
      <w:marTop w:val="0"/>
      <w:marBottom w:val="0"/>
      <w:divBdr>
        <w:top w:val="none" w:sz="0" w:space="0" w:color="auto"/>
        <w:left w:val="none" w:sz="0" w:space="0" w:color="auto"/>
        <w:bottom w:val="none" w:sz="0" w:space="0" w:color="auto"/>
        <w:right w:val="none" w:sz="0" w:space="0" w:color="auto"/>
      </w:divBdr>
    </w:div>
    <w:div w:id="2059207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2638</Words>
  <Characters>14514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fegue</dc:creator>
  <cp:keywords/>
  <dc:description/>
  <cp:lastModifiedBy>USER</cp:lastModifiedBy>
  <cp:revision>8</cp:revision>
  <cp:lastPrinted>2024-12-04T16:29:00Z</cp:lastPrinted>
  <dcterms:created xsi:type="dcterms:W3CDTF">2025-04-22T06:50:00Z</dcterms:created>
  <dcterms:modified xsi:type="dcterms:W3CDTF">2025-04-22T07:00:00Z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1036-12.2.0.13215</vt:lpwstr>
  </property>
  <property fmtid="{D5CDD505-2E9C-101B-9397-08002B2CF9AE}" pid="3" name="ICV">
    <vt:lpwstr>7C3E91759E9940EAA410D6FE7D56356C_13</vt:lpwstr>
  </property>
</Properties>
</file>