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D8C1"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bookmarkStart w:id="0" w:name="_Toc231732141"/>
    </w:p>
    <w:p w14:paraId="5C585BAA"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49E4D9C5"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25E56FC7"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44318D06"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4C818701"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554E1F02" w14:textId="77777777" w:rsidR="00114D95" w:rsidRDefault="00114D95" w:rsidP="00114D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23906386" w14:textId="02E25B8F" w:rsidR="00BE233A" w:rsidRPr="0050213F" w:rsidRDefault="00BE233A" w:rsidP="00114D95">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fr-FR"/>
          <w14:ligatures w14:val="none"/>
        </w:rPr>
      </w:pPr>
      <w:r w:rsidRPr="0050213F">
        <w:rPr>
          <w:rFonts w:ascii="Times New Roman" w:eastAsia="Times New Roman" w:hAnsi="Times New Roman" w:cs="Times New Roman"/>
          <w:b/>
          <w:bCs/>
          <w:kern w:val="36"/>
          <w:sz w:val="40"/>
          <w:szCs w:val="40"/>
          <w:lang w:eastAsia="fr-FR"/>
          <w14:ligatures w14:val="none"/>
        </w:rPr>
        <w:t xml:space="preserve">NOTE </w:t>
      </w:r>
      <w:bookmarkEnd w:id="0"/>
      <w:r w:rsidR="0050213F">
        <w:rPr>
          <w:rFonts w:ascii="Times New Roman" w:eastAsia="Times New Roman" w:hAnsi="Times New Roman" w:cs="Times New Roman"/>
          <w:b/>
          <w:bCs/>
          <w:kern w:val="36"/>
          <w:sz w:val="40"/>
          <w:szCs w:val="40"/>
          <w:lang w:eastAsia="fr-FR"/>
          <w14:ligatures w14:val="none"/>
        </w:rPr>
        <w:t>D’ORIENTATION STRATEGIQUE</w:t>
      </w:r>
    </w:p>
    <w:p w14:paraId="7546CFDD" w14:textId="77777777" w:rsidR="00BE233A" w:rsidRPr="00BE233A" w:rsidRDefault="00BE233A" w:rsidP="00114D95">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fr-FR"/>
          <w14:ligatures w14:val="none"/>
        </w:rPr>
      </w:pPr>
      <w:bookmarkStart w:id="1" w:name="_Toc231732142"/>
      <w:r w:rsidRPr="00BE233A">
        <w:rPr>
          <w:rFonts w:ascii="Times New Roman" w:eastAsia="Times New Roman" w:hAnsi="Times New Roman" w:cs="Times New Roman"/>
          <w:b/>
          <w:bCs/>
          <w:kern w:val="0"/>
          <w:sz w:val="36"/>
          <w:szCs w:val="36"/>
          <w:lang w:eastAsia="fr-FR"/>
          <w14:ligatures w14:val="none"/>
        </w:rPr>
        <w:t>Renforcer la contribution de l’ITIE Cameroun à la lutte contre les flux financiers illicites : enseignements de l’atelier sous-régional de Yaoundé et opportunité stratégique d’intégration du secteur forestier dans le périmètre de transparence des ressources naturelles</w:t>
      </w:r>
      <w:bookmarkEnd w:id="1"/>
    </w:p>
    <w:p w14:paraId="2ABB31DE" w14:textId="77777777" w:rsidR="00114D95" w:rsidRDefault="00114D95"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bookmarkStart w:id="2" w:name="_Toc231732143"/>
    </w:p>
    <w:p w14:paraId="1F2252A0" w14:textId="77777777" w:rsidR="00114D95" w:rsidRDefault="00114D95"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p>
    <w:p w14:paraId="5FA1209E" w14:textId="77777777" w:rsidR="00114D95" w:rsidRDefault="00114D95"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p>
    <w:p w14:paraId="38A1365D" w14:textId="02C8779B" w:rsidR="00BE233A" w:rsidRPr="00BE233A" w:rsidRDefault="00BE233A"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r w:rsidRPr="00BE233A">
        <w:rPr>
          <w:rFonts w:ascii="Times New Roman" w:eastAsia="Times New Roman" w:hAnsi="Times New Roman" w:cs="Times New Roman"/>
          <w:b/>
          <w:bCs/>
          <w:kern w:val="0"/>
          <w:sz w:val="27"/>
          <w:szCs w:val="27"/>
          <w:lang w:eastAsia="fr-FR"/>
          <w14:ligatures w14:val="none"/>
        </w:rPr>
        <w:t>Présentée par le CRADEC au Comité ITIE-Cameroun</w:t>
      </w:r>
      <w:bookmarkEnd w:id="2"/>
    </w:p>
    <w:p w14:paraId="4D75F89C" w14:textId="77777777" w:rsidR="00114D95" w:rsidRDefault="00114D95"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bookmarkStart w:id="3" w:name="_Toc231732144"/>
    </w:p>
    <w:p w14:paraId="4BE4C302" w14:textId="77777777" w:rsidR="00114D95" w:rsidRDefault="00114D95"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p>
    <w:p w14:paraId="1BAF68FA" w14:textId="41CF61B9" w:rsidR="00114D95" w:rsidRDefault="00BE233A" w:rsidP="00114D9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r w:rsidRPr="00BE233A">
        <w:rPr>
          <w:rFonts w:ascii="Times New Roman" w:eastAsia="Times New Roman" w:hAnsi="Times New Roman" w:cs="Times New Roman"/>
          <w:b/>
          <w:bCs/>
          <w:kern w:val="0"/>
          <w:sz w:val="27"/>
          <w:szCs w:val="27"/>
          <w:lang w:eastAsia="fr-FR"/>
          <w14:ligatures w14:val="none"/>
        </w:rPr>
        <w:t>Juin 2026</w:t>
      </w:r>
      <w:bookmarkEnd w:id="3"/>
    </w:p>
    <w:p w14:paraId="1E3CD987" w14:textId="77777777" w:rsidR="00114D95" w:rsidRDefault="00114D95">
      <w:pPr>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155345830"/>
        <w:docPartObj>
          <w:docPartGallery w:val="Table of Contents"/>
          <w:docPartUnique/>
        </w:docPartObj>
      </w:sdtPr>
      <w:sdtEndPr>
        <w:rPr>
          <w:b/>
          <w:bCs/>
        </w:rPr>
      </w:sdtEndPr>
      <w:sdtContent>
        <w:p w14:paraId="44A0B054" w14:textId="708C9508" w:rsidR="00114D95" w:rsidRDefault="00114D95">
          <w:pPr>
            <w:pStyle w:val="En-ttedetabledesmatires"/>
          </w:pPr>
          <w:r>
            <w:t>Table des matières</w:t>
          </w:r>
        </w:p>
        <w:p w14:paraId="0A6DD9C8" w14:textId="1990D635" w:rsidR="00114D95" w:rsidRDefault="00114D95" w:rsidP="00114D95">
          <w:pPr>
            <w:pStyle w:val="TM1"/>
            <w:tabs>
              <w:tab w:val="right" w:leader="dot" w:pos="9062"/>
            </w:tabs>
            <w:rPr>
              <w:noProof/>
            </w:rPr>
          </w:pPr>
          <w:r>
            <w:fldChar w:fldCharType="begin"/>
          </w:r>
          <w:r>
            <w:instrText xml:space="preserve"> TOC \o "1-3" \h \z \u </w:instrText>
          </w:r>
          <w:r>
            <w:fldChar w:fldCharType="separate"/>
          </w:r>
        </w:p>
        <w:p w14:paraId="33487EF6" w14:textId="25862B21" w:rsidR="00114D95" w:rsidRDefault="00114D95">
          <w:pPr>
            <w:pStyle w:val="TM1"/>
            <w:tabs>
              <w:tab w:val="left" w:pos="440"/>
              <w:tab w:val="right" w:leader="dot" w:pos="9062"/>
            </w:tabs>
            <w:rPr>
              <w:noProof/>
            </w:rPr>
          </w:pPr>
          <w:hyperlink w:anchor="_Toc231732145" w:history="1">
            <w:r w:rsidRPr="003669FE">
              <w:rPr>
                <w:rStyle w:val="Lienhypertexte"/>
                <w:rFonts w:eastAsia="Times New Roman"/>
                <w:noProof/>
                <w:lang w:eastAsia="fr-FR"/>
              </w:rPr>
              <w:t>1</w:t>
            </w:r>
            <w:r>
              <w:rPr>
                <w:noProof/>
              </w:rPr>
              <w:tab/>
            </w:r>
            <w:r w:rsidRPr="003669FE">
              <w:rPr>
                <w:rStyle w:val="Lienhypertexte"/>
                <w:rFonts w:eastAsia="Times New Roman"/>
                <w:noProof/>
                <w:lang w:eastAsia="fr-FR"/>
              </w:rPr>
              <w:t>Résumé exécutif</w:t>
            </w:r>
            <w:r>
              <w:rPr>
                <w:noProof/>
                <w:webHidden/>
              </w:rPr>
              <w:tab/>
            </w:r>
            <w:r>
              <w:rPr>
                <w:noProof/>
                <w:webHidden/>
              </w:rPr>
              <w:fldChar w:fldCharType="begin"/>
            </w:r>
            <w:r>
              <w:rPr>
                <w:noProof/>
                <w:webHidden/>
              </w:rPr>
              <w:instrText xml:space="preserve"> PAGEREF _Toc231732145 \h </w:instrText>
            </w:r>
            <w:r>
              <w:rPr>
                <w:noProof/>
                <w:webHidden/>
              </w:rPr>
            </w:r>
            <w:r>
              <w:rPr>
                <w:noProof/>
                <w:webHidden/>
              </w:rPr>
              <w:fldChar w:fldCharType="separate"/>
            </w:r>
            <w:r w:rsidR="003137B7">
              <w:rPr>
                <w:noProof/>
                <w:webHidden/>
              </w:rPr>
              <w:t>3</w:t>
            </w:r>
            <w:r>
              <w:rPr>
                <w:noProof/>
                <w:webHidden/>
              </w:rPr>
              <w:fldChar w:fldCharType="end"/>
            </w:r>
          </w:hyperlink>
        </w:p>
        <w:p w14:paraId="7F3B6AC5" w14:textId="6EB4A663" w:rsidR="00114D95" w:rsidRDefault="00114D95">
          <w:pPr>
            <w:pStyle w:val="TM1"/>
            <w:tabs>
              <w:tab w:val="left" w:pos="440"/>
              <w:tab w:val="right" w:leader="dot" w:pos="9062"/>
            </w:tabs>
            <w:rPr>
              <w:noProof/>
            </w:rPr>
          </w:pPr>
          <w:hyperlink w:anchor="_Toc231732146" w:history="1">
            <w:r w:rsidRPr="003669FE">
              <w:rPr>
                <w:rStyle w:val="Lienhypertexte"/>
                <w:rFonts w:eastAsia="Times New Roman"/>
                <w:noProof/>
                <w:lang w:eastAsia="fr-FR"/>
              </w:rPr>
              <w:t>2</w:t>
            </w:r>
            <w:r>
              <w:rPr>
                <w:noProof/>
              </w:rPr>
              <w:tab/>
            </w:r>
            <w:r w:rsidRPr="003669FE">
              <w:rPr>
                <w:rStyle w:val="Lienhypertexte"/>
                <w:rFonts w:eastAsia="Times New Roman"/>
                <w:noProof/>
                <w:lang w:eastAsia="fr-FR"/>
              </w:rPr>
              <w:t>Pourquoi les FFI, le blanchiment des capitaux et le financement du terrorisme concernent directement l’ITIE</w:t>
            </w:r>
            <w:r>
              <w:rPr>
                <w:noProof/>
                <w:webHidden/>
              </w:rPr>
              <w:tab/>
            </w:r>
            <w:r>
              <w:rPr>
                <w:noProof/>
                <w:webHidden/>
              </w:rPr>
              <w:fldChar w:fldCharType="begin"/>
            </w:r>
            <w:r>
              <w:rPr>
                <w:noProof/>
                <w:webHidden/>
              </w:rPr>
              <w:instrText xml:space="preserve"> PAGEREF _Toc231732146 \h </w:instrText>
            </w:r>
            <w:r>
              <w:rPr>
                <w:noProof/>
                <w:webHidden/>
              </w:rPr>
            </w:r>
            <w:r>
              <w:rPr>
                <w:noProof/>
                <w:webHidden/>
              </w:rPr>
              <w:fldChar w:fldCharType="separate"/>
            </w:r>
            <w:r w:rsidR="003137B7">
              <w:rPr>
                <w:noProof/>
                <w:webHidden/>
              </w:rPr>
              <w:t>3</w:t>
            </w:r>
            <w:r>
              <w:rPr>
                <w:noProof/>
                <w:webHidden/>
              </w:rPr>
              <w:fldChar w:fldCharType="end"/>
            </w:r>
          </w:hyperlink>
        </w:p>
        <w:p w14:paraId="257C0BBE" w14:textId="31D8D03B" w:rsidR="00114D95" w:rsidRDefault="00114D95">
          <w:pPr>
            <w:pStyle w:val="TM1"/>
            <w:tabs>
              <w:tab w:val="left" w:pos="440"/>
              <w:tab w:val="right" w:leader="dot" w:pos="9062"/>
            </w:tabs>
            <w:rPr>
              <w:noProof/>
            </w:rPr>
          </w:pPr>
          <w:hyperlink w:anchor="_Toc231732147" w:history="1">
            <w:r w:rsidRPr="003669FE">
              <w:rPr>
                <w:rStyle w:val="Lienhypertexte"/>
                <w:rFonts w:eastAsia="Times New Roman"/>
                <w:noProof/>
                <w:lang w:eastAsia="fr-FR"/>
              </w:rPr>
              <w:t>3</w:t>
            </w:r>
            <w:r>
              <w:rPr>
                <w:noProof/>
              </w:rPr>
              <w:tab/>
            </w:r>
            <w:r w:rsidRPr="003669FE">
              <w:rPr>
                <w:rStyle w:val="Lienhypertexte"/>
                <w:rFonts w:eastAsia="Times New Roman"/>
                <w:noProof/>
                <w:lang w:eastAsia="fr-FR"/>
              </w:rPr>
              <w:t>Le secteur forestier : un risque systémique encore insuffisamment couvert</w:t>
            </w:r>
            <w:r>
              <w:rPr>
                <w:noProof/>
                <w:webHidden/>
              </w:rPr>
              <w:tab/>
            </w:r>
            <w:r>
              <w:rPr>
                <w:noProof/>
                <w:webHidden/>
              </w:rPr>
              <w:fldChar w:fldCharType="begin"/>
            </w:r>
            <w:r>
              <w:rPr>
                <w:noProof/>
                <w:webHidden/>
              </w:rPr>
              <w:instrText xml:space="preserve"> PAGEREF _Toc231732147 \h </w:instrText>
            </w:r>
            <w:r>
              <w:rPr>
                <w:noProof/>
                <w:webHidden/>
              </w:rPr>
            </w:r>
            <w:r>
              <w:rPr>
                <w:noProof/>
                <w:webHidden/>
              </w:rPr>
              <w:fldChar w:fldCharType="separate"/>
            </w:r>
            <w:r w:rsidR="003137B7">
              <w:rPr>
                <w:noProof/>
                <w:webHidden/>
              </w:rPr>
              <w:t>4</w:t>
            </w:r>
            <w:r>
              <w:rPr>
                <w:noProof/>
                <w:webHidden/>
              </w:rPr>
              <w:fldChar w:fldCharType="end"/>
            </w:r>
          </w:hyperlink>
        </w:p>
        <w:p w14:paraId="22DB3B63" w14:textId="4CE7455C" w:rsidR="00114D95" w:rsidRDefault="00114D95">
          <w:pPr>
            <w:pStyle w:val="TM3"/>
            <w:tabs>
              <w:tab w:val="right" w:leader="dot" w:pos="9062"/>
            </w:tabs>
            <w:rPr>
              <w:noProof/>
            </w:rPr>
          </w:pPr>
          <w:hyperlink w:anchor="_Toc231732148" w:history="1">
            <w:r w:rsidRPr="003669FE">
              <w:rPr>
                <w:rStyle w:val="Lienhypertexte"/>
                <w:rFonts w:ascii="Times New Roman" w:eastAsia="Times New Roman" w:hAnsi="Times New Roman" w:cs="Times New Roman"/>
                <w:b/>
                <w:bCs/>
                <w:noProof/>
                <w:kern w:val="0"/>
                <w:lang w:eastAsia="fr-FR"/>
                <w14:ligatures w14:val="none"/>
              </w:rPr>
              <w:t>a) Une perte importante de ressources naturelles</w:t>
            </w:r>
            <w:r>
              <w:rPr>
                <w:noProof/>
                <w:webHidden/>
              </w:rPr>
              <w:tab/>
            </w:r>
            <w:r>
              <w:rPr>
                <w:noProof/>
                <w:webHidden/>
              </w:rPr>
              <w:fldChar w:fldCharType="begin"/>
            </w:r>
            <w:r>
              <w:rPr>
                <w:noProof/>
                <w:webHidden/>
              </w:rPr>
              <w:instrText xml:space="preserve"> PAGEREF _Toc231732148 \h </w:instrText>
            </w:r>
            <w:r>
              <w:rPr>
                <w:noProof/>
                <w:webHidden/>
              </w:rPr>
            </w:r>
            <w:r>
              <w:rPr>
                <w:noProof/>
                <w:webHidden/>
              </w:rPr>
              <w:fldChar w:fldCharType="separate"/>
            </w:r>
            <w:r w:rsidR="003137B7">
              <w:rPr>
                <w:noProof/>
                <w:webHidden/>
              </w:rPr>
              <w:t>4</w:t>
            </w:r>
            <w:r>
              <w:rPr>
                <w:noProof/>
                <w:webHidden/>
              </w:rPr>
              <w:fldChar w:fldCharType="end"/>
            </w:r>
          </w:hyperlink>
        </w:p>
        <w:p w14:paraId="4F8203C1" w14:textId="34CE8711" w:rsidR="00114D95" w:rsidRDefault="00114D95">
          <w:pPr>
            <w:pStyle w:val="TM3"/>
            <w:tabs>
              <w:tab w:val="right" w:leader="dot" w:pos="9062"/>
            </w:tabs>
            <w:rPr>
              <w:noProof/>
            </w:rPr>
          </w:pPr>
          <w:hyperlink w:anchor="_Toc231732149" w:history="1">
            <w:r w:rsidRPr="003669FE">
              <w:rPr>
                <w:rStyle w:val="Lienhypertexte"/>
                <w:rFonts w:ascii="Times New Roman" w:eastAsia="Times New Roman" w:hAnsi="Times New Roman" w:cs="Times New Roman"/>
                <w:b/>
                <w:bCs/>
                <w:noProof/>
                <w:kern w:val="0"/>
                <w:lang w:eastAsia="fr-FR"/>
                <w14:ligatures w14:val="none"/>
              </w:rPr>
              <w:t>b) Des flux financiers illicites massifs</w:t>
            </w:r>
            <w:r>
              <w:rPr>
                <w:noProof/>
                <w:webHidden/>
              </w:rPr>
              <w:tab/>
            </w:r>
            <w:r>
              <w:rPr>
                <w:noProof/>
                <w:webHidden/>
              </w:rPr>
              <w:fldChar w:fldCharType="begin"/>
            </w:r>
            <w:r>
              <w:rPr>
                <w:noProof/>
                <w:webHidden/>
              </w:rPr>
              <w:instrText xml:space="preserve"> PAGEREF _Toc231732149 \h </w:instrText>
            </w:r>
            <w:r>
              <w:rPr>
                <w:noProof/>
                <w:webHidden/>
              </w:rPr>
            </w:r>
            <w:r>
              <w:rPr>
                <w:noProof/>
                <w:webHidden/>
              </w:rPr>
              <w:fldChar w:fldCharType="separate"/>
            </w:r>
            <w:r w:rsidR="003137B7">
              <w:rPr>
                <w:noProof/>
                <w:webHidden/>
              </w:rPr>
              <w:t>4</w:t>
            </w:r>
            <w:r>
              <w:rPr>
                <w:noProof/>
                <w:webHidden/>
              </w:rPr>
              <w:fldChar w:fldCharType="end"/>
            </w:r>
          </w:hyperlink>
        </w:p>
        <w:p w14:paraId="49D6E532" w14:textId="118BB9BB" w:rsidR="00114D95" w:rsidRDefault="00114D95">
          <w:pPr>
            <w:pStyle w:val="TM3"/>
            <w:tabs>
              <w:tab w:val="right" w:leader="dot" w:pos="9062"/>
            </w:tabs>
            <w:rPr>
              <w:noProof/>
            </w:rPr>
          </w:pPr>
          <w:hyperlink w:anchor="_Toc231732150" w:history="1">
            <w:r w:rsidRPr="003669FE">
              <w:rPr>
                <w:rStyle w:val="Lienhypertexte"/>
                <w:rFonts w:ascii="Times New Roman" w:eastAsia="Times New Roman" w:hAnsi="Times New Roman" w:cs="Times New Roman"/>
                <w:b/>
                <w:bCs/>
                <w:noProof/>
                <w:kern w:val="0"/>
                <w:lang w:eastAsia="fr-FR"/>
                <w14:ligatures w14:val="none"/>
              </w:rPr>
              <w:t>c) Une faible transparence sur les bénéficiaires effectifs</w:t>
            </w:r>
            <w:r>
              <w:rPr>
                <w:noProof/>
                <w:webHidden/>
              </w:rPr>
              <w:tab/>
            </w:r>
            <w:r>
              <w:rPr>
                <w:noProof/>
                <w:webHidden/>
              </w:rPr>
              <w:fldChar w:fldCharType="begin"/>
            </w:r>
            <w:r>
              <w:rPr>
                <w:noProof/>
                <w:webHidden/>
              </w:rPr>
              <w:instrText xml:space="preserve"> PAGEREF _Toc231732150 \h </w:instrText>
            </w:r>
            <w:r>
              <w:rPr>
                <w:noProof/>
                <w:webHidden/>
              </w:rPr>
            </w:r>
            <w:r>
              <w:rPr>
                <w:noProof/>
                <w:webHidden/>
              </w:rPr>
              <w:fldChar w:fldCharType="separate"/>
            </w:r>
            <w:r w:rsidR="003137B7">
              <w:rPr>
                <w:noProof/>
                <w:webHidden/>
              </w:rPr>
              <w:t>5</w:t>
            </w:r>
            <w:r>
              <w:rPr>
                <w:noProof/>
                <w:webHidden/>
              </w:rPr>
              <w:fldChar w:fldCharType="end"/>
            </w:r>
          </w:hyperlink>
        </w:p>
        <w:p w14:paraId="54238016" w14:textId="60830756" w:rsidR="00114D95" w:rsidRDefault="00114D95">
          <w:pPr>
            <w:pStyle w:val="TM3"/>
            <w:tabs>
              <w:tab w:val="right" w:leader="dot" w:pos="9062"/>
            </w:tabs>
            <w:rPr>
              <w:noProof/>
            </w:rPr>
          </w:pPr>
          <w:hyperlink w:anchor="_Toc231732151" w:history="1">
            <w:r w:rsidRPr="003669FE">
              <w:rPr>
                <w:rStyle w:val="Lienhypertexte"/>
                <w:rFonts w:ascii="Times New Roman" w:eastAsia="Times New Roman" w:hAnsi="Times New Roman" w:cs="Times New Roman"/>
                <w:b/>
                <w:bCs/>
                <w:noProof/>
                <w:kern w:val="0"/>
                <w:lang w:eastAsia="fr-FR"/>
                <w14:ligatures w14:val="none"/>
              </w:rPr>
              <w:t>d) Une convergence croissante entre exigences environnementales et exigences anti-blanchiment</w:t>
            </w:r>
            <w:r>
              <w:rPr>
                <w:noProof/>
                <w:webHidden/>
              </w:rPr>
              <w:tab/>
            </w:r>
            <w:r>
              <w:rPr>
                <w:noProof/>
                <w:webHidden/>
              </w:rPr>
              <w:fldChar w:fldCharType="begin"/>
            </w:r>
            <w:r>
              <w:rPr>
                <w:noProof/>
                <w:webHidden/>
              </w:rPr>
              <w:instrText xml:space="preserve"> PAGEREF _Toc231732151 \h </w:instrText>
            </w:r>
            <w:r>
              <w:rPr>
                <w:noProof/>
                <w:webHidden/>
              </w:rPr>
            </w:r>
            <w:r>
              <w:rPr>
                <w:noProof/>
                <w:webHidden/>
              </w:rPr>
              <w:fldChar w:fldCharType="separate"/>
            </w:r>
            <w:r w:rsidR="003137B7">
              <w:rPr>
                <w:noProof/>
                <w:webHidden/>
              </w:rPr>
              <w:t>5</w:t>
            </w:r>
            <w:r>
              <w:rPr>
                <w:noProof/>
                <w:webHidden/>
              </w:rPr>
              <w:fldChar w:fldCharType="end"/>
            </w:r>
          </w:hyperlink>
        </w:p>
        <w:p w14:paraId="70F5AC6C" w14:textId="239791C8" w:rsidR="00114D95" w:rsidRDefault="00114D95">
          <w:pPr>
            <w:pStyle w:val="TM1"/>
            <w:tabs>
              <w:tab w:val="left" w:pos="440"/>
              <w:tab w:val="right" w:leader="dot" w:pos="9062"/>
            </w:tabs>
            <w:rPr>
              <w:noProof/>
            </w:rPr>
          </w:pPr>
          <w:hyperlink w:anchor="_Toc231732152" w:history="1">
            <w:r w:rsidRPr="003669FE">
              <w:rPr>
                <w:rStyle w:val="Lienhypertexte"/>
                <w:rFonts w:eastAsia="Times New Roman"/>
                <w:noProof/>
                <w:lang w:eastAsia="fr-FR"/>
              </w:rPr>
              <w:t>4</w:t>
            </w:r>
            <w:r>
              <w:rPr>
                <w:noProof/>
              </w:rPr>
              <w:tab/>
            </w:r>
            <w:r w:rsidRPr="003669FE">
              <w:rPr>
                <w:rStyle w:val="Lienhypertexte"/>
                <w:rFonts w:eastAsia="Times New Roman"/>
                <w:noProof/>
                <w:lang w:eastAsia="fr-FR"/>
              </w:rPr>
              <w:t>Une opportunité stratégique pour l’ITIE Cameroun</w:t>
            </w:r>
            <w:r>
              <w:rPr>
                <w:noProof/>
                <w:webHidden/>
              </w:rPr>
              <w:tab/>
            </w:r>
            <w:r>
              <w:rPr>
                <w:noProof/>
                <w:webHidden/>
              </w:rPr>
              <w:fldChar w:fldCharType="begin"/>
            </w:r>
            <w:r>
              <w:rPr>
                <w:noProof/>
                <w:webHidden/>
              </w:rPr>
              <w:instrText xml:space="preserve"> PAGEREF _Toc231732152 \h </w:instrText>
            </w:r>
            <w:r>
              <w:rPr>
                <w:noProof/>
                <w:webHidden/>
              </w:rPr>
            </w:r>
            <w:r>
              <w:rPr>
                <w:noProof/>
                <w:webHidden/>
              </w:rPr>
              <w:fldChar w:fldCharType="separate"/>
            </w:r>
            <w:r w:rsidR="003137B7">
              <w:rPr>
                <w:noProof/>
                <w:webHidden/>
              </w:rPr>
              <w:t>5</w:t>
            </w:r>
            <w:r>
              <w:rPr>
                <w:noProof/>
                <w:webHidden/>
              </w:rPr>
              <w:fldChar w:fldCharType="end"/>
            </w:r>
          </w:hyperlink>
        </w:p>
        <w:p w14:paraId="1BE4A2AC" w14:textId="221C4C9A" w:rsidR="00114D95" w:rsidRDefault="00114D95">
          <w:pPr>
            <w:pStyle w:val="TM1"/>
            <w:tabs>
              <w:tab w:val="left" w:pos="440"/>
              <w:tab w:val="right" w:leader="dot" w:pos="9062"/>
            </w:tabs>
            <w:rPr>
              <w:noProof/>
            </w:rPr>
          </w:pPr>
          <w:hyperlink w:anchor="_Toc231732153" w:history="1">
            <w:r w:rsidRPr="003669FE">
              <w:rPr>
                <w:rStyle w:val="Lienhypertexte"/>
                <w:rFonts w:eastAsia="Times New Roman"/>
                <w:noProof/>
                <w:lang w:eastAsia="fr-FR"/>
              </w:rPr>
              <w:t>5</w:t>
            </w:r>
            <w:r>
              <w:rPr>
                <w:noProof/>
              </w:rPr>
              <w:tab/>
            </w:r>
            <w:r w:rsidRPr="003669FE">
              <w:rPr>
                <w:rStyle w:val="Lienhypertexte"/>
                <w:rFonts w:eastAsia="Times New Roman"/>
                <w:noProof/>
                <w:lang w:eastAsia="fr-FR"/>
              </w:rPr>
              <w:t>Recommandations</w:t>
            </w:r>
            <w:r>
              <w:rPr>
                <w:noProof/>
                <w:webHidden/>
              </w:rPr>
              <w:tab/>
            </w:r>
            <w:r>
              <w:rPr>
                <w:noProof/>
                <w:webHidden/>
              </w:rPr>
              <w:fldChar w:fldCharType="begin"/>
            </w:r>
            <w:r>
              <w:rPr>
                <w:noProof/>
                <w:webHidden/>
              </w:rPr>
              <w:instrText xml:space="preserve"> PAGEREF _Toc231732153 \h </w:instrText>
            </w:r>
            <w:r>
              <w:rPr>
                <w:noProof/>
                <w:webHidden/>
              </w:rPr>
            </w:r>
            <w:r>
              <w:rPr>
                <w:noProof/>
                <w:webHidden/>
              </w:rPr>
              <w:fldChar w:fldCharType="separate"/>
            </w:r>
            <w:r w:rsidR="003137B7">
              <w:rPr>
                <w:noProof/>
                <w:webHidden/>
              </w:rPr>
              <w:t>6</w:t>
            </w:r>
            <w:r>
              <w:rPr>
                <w:noProof/>
                <w:webHidden/>
              </w:rPr>
              <w:fldChar w:fldCharType="end"/>
            </w:r>
          </w:hyperlink>
        </w:p>
        <w:p w14:paraId="2D4168A4" w14:textId="75AFEACA" w:rsidR="00114D95" w:rsidRDefault="00114D95">
          <w:pPr>
            <w:pStyle w:val="TM2"/>
            <w:tabs>
              <w:tab w:val="right" w:leader="dot" w:pos="9062"/>
            </w:tabs>
            <w:rPr>
              <w:noProof/>
            </w:rPr>
          </w:pPr>
          <w:hyperlink w:anchor="_Toc231732154" w:history="1">
            <w:r w:rsidRPr="003669FE">
              <w:rPr>
                <w:rStyle w:val="Lienhypertexte"/>
                <w:rFonts w:ascii="Times New Roman" w:eastAsia="Times New Roman" w:hAnsi="Times New Roman" w:cs="Times New Roman"/>
                <w:b/>
                <w:bCs/>
                <w:noProof/>
                <w:kern w:val="0"/>
                <w:lang w:eastAsia="fr-FR"/>
                <w14:ligatures w14:val="none"/>
              </w:rPr>
              <w:t>Recommandation 1 :</w:t>
            </w:r>
            <w:r>
              <w:rPr>
                <w:noProof/>
                <w:webHidden/>
              </w:rPr>
              <w:tab/>
            </w:r>
            <w:r>
              <w:rPr>
                <w:noProof/>
                <w:webHidden/>
              </w:rPr>
              <w:fldChar w:fldCharType="begin"/>
            </w:r>
            <w:r>
              <w:rPr>
                <w:noProof/>
                <w:webHidden/>
              </w:rPr>
              <w:instrText xml:space="preserve"> PAGEREF _Toc231732154 \h </w:instrText>
            </w:r>
            <w:r>
              <w:rPr>
                <w:noProof/>
                <w:webHidden/>
              </w:rPr>
            </w:r>
            <w:r>
              <w:rPr>
                <w:noProof/>
                <w:webHidden/>
              </w:rPr>
              <w:fldChar w:fldCharType="separate"/>
            </w:r>
            <w:r w:rsidR="003137B7">
              <w:rPr>
                <w:noProof/>
                <w:webHidden/>
              </w:rPr>
              <w:t>6</w:t>
            </w:r>
            <w:r>
              <w:rPr>
                <w:noProof/>
                <w:webHidden/>
              </w:rPr>
              <w:fldChar w:fldCharType="end"/>
            </w:r>
          </w:hyperlink>
        </w:p>
        <w:p w14:paraId="41583258" w14:textId="5B085F58" w:rsidR="00114D95" w:rsidRDefault="00114D95">
          <w:pPr>
            <w:pStyle w:val="TM3"/>
            <w:tabs>
              <w:tab w:val="right" w:leader="dot" w:pos="9062"/>
            </w:tabs>
            <w:rPr>
              <w:noProof/>
            </w:rPr>
          </w:pPr>
          <w:hyperlink w:anchor="_Toc231732155" w:history="1">
            <w:r w:rsidRPr="003669FE">
              <w:rPr>
                <w:rStyle w:val="Lienhypertexte"/>
                <w:rFonts w:ascii="Times New Roman" w:eastAsia="Times New Roman" w:hAnsi="Times New Roman" w:cs="Times New Roman"/>
                <w:b/>
                <w:bCs/>
                <w:noProof/>
                <w:kern w:val="0"/>
                <w:lang w:eastAsia="fr-FR"/>
                <w14:ligatures w14:val="none"/>
              </w:rPr>
              <w:t>Créer au sein du Comité ITIE un groupe de travail « Transparence des ressources naturelles et flux financiers illicites »</w:t>
            </w:r>
            <w:r>
              <w:rPr>
                <w:noProof/>
                <w:webHidden/>
              </w:rPr>
              <w:tab/>
            </w:r>
            <w:r>
              <w:rPr>
                <w:noProof/>
                <w:webHidden/>
              </w:rPr>
              <w:fldChar w:fldCharType="begin"/>
            </w:r>
            <w:r>
              <w:rPr>
                <w:noProof/>
                <w:webHidden/>
              </w:rPr>
              <w:instrText xml:space="preserve"> PAGEREF _Toc231732155 \h </w:instrText>
            </w:r>
            <w:r>
              <w:rPr>
                <w:noProof/>
                <w:webHidden/>
              </w:rPr>
            </w:r>
            <w:r>
              <w:rPr>
                <w:noProof/>
                <w:webHidden/>
              </w:rPr>
              <w:fldChar w:fldCharType="separate"/>
            </w:r>
            <w:r w:rsidR="003137B7">
              <w:rPr>
                <w:noProof/>
                <w:webHidden/>
              </w:rPr>
              <w:t>6</w:t>
            </w:r>
            <w:r>
              <w:rPr>
                <w:noProof/>
                <w:webHidden/>
              </w:rPr>
              <w:fldChar w:fldCharType="end"/>
            </w:r>
          </w:hyperlink>
        </w:p>
        <w:p w14:paraId="6F9040D8" w14:textId="2BBCDC3C" w:rsidR="00114D95" w:rsidRDefault="00114D95">
          <w:pPr>
            <w:pStyle w:val="TM2"/>
            <w:tabs>
              <w:tab w:val="right" w:leader="dot" w:pos="9062"/>
            </w:tabs>
            <w:rPr>
              <w:noProof/>
            </w:rPr>
          </w:pPr>
          <w:hyperlink w:anchor="_Toc231732156" w:history="1">
            <w:r w:rsidRPr="003669FE">
              <w:rPr>
                <w:rStyle w:val="Lienhypertexte"/>
                <w:rFonts w:ascii="Times New Roman" w:eastAsia="Times New Roman" w:hAnsi="Times New Roman" w:cs="Times New Roman"/>
                <w:b/>
                <w:bCs/>
                <w:noProof/>
                <w:kern w:val="0"/>
                <w:lang w:eastAsia="fr-FR"/>
                <w14:ligatures w14:val="none"/>
              </w:rPr>
              <w:t>Recommandation 2 :</w:t>
            </w:r>
            <w:r>
              <w:rPr>
                <w:noProof/>
                <w:webHidden/>
              </w:rPr>
              <w:tab/>
            </w:r>
            <w:r>
              <w:rPr>
                <w:noProof/>
                <w:webHidden/>
              </w:rPr>
              <w:fldChar w:fldCharType="begin"/>
            </w:r>
            <w:r>
              <w:rPr>
                <w:noProof/>
                <w:webHidden/>
              </w:rPr>
              <w:instrText xml:space="preserve"> PAGEREF _Toc231732156 \h </w:instrText>
            </w:r>
            <w:r>
              <w:rPr>
                <w:noProof/>
                <w:webHidden/>
              </w:rPr>
            </w:r>
            <w:r>
              <w:rPr>
                <w:noProof/>
                <w:webHidden/>
              </w:rPr>
              <w:fldChar w:fldCharType="separate"/>
            </w:r>
            <w:r w:rsidR="003137B7">
              <w:rPr>
                <w:noProof/>
                <w:webHidden/>
              </w:rPr>
              <w:t>6</w:t>
            </w:r>
            <w:r>
              <w:rPr>
                <w:noProof/>
                <w:webHidden/>
              </w:rPr>
              <w:fldChar w:fldCharType="end"/>
            </w:r>
          </w:hyperlink>
        </w:p>
        <w:p w14:paraId="0C14875F" w14:textId="79F16DDB" w:rsidR="00114D95" w:rsidRDefault="00114D95">
          <w:pPr>
            <w:pStyle w:val="TM3"/>
            <w:tabs>
              <w:tab w:val="right" w:leader="dot" w:pos="9062"/>
            </w:tabs>
            <w:rPr>
              <w:noProof/>
            </w:rPr>
          </w:pPr>
          <w:hyperlink w:anchor="_Toc231732157" w:history="1">
            <w:r w:rsidRPr="003669FE">
              <w:rPr>
                <w:rStyle w:val="Lienhypertexte"/>
                <w:rFonts w:ascii="Times New Roman" w:eastAsia="Times New Roman" w:hAnsi="Times New Roman" w:cs="Times New Roman"/>
                <w:b/>
                <w:bCs/>
                <w:noProof/>
                <w:kern w:val="0"/>
                <w:lang w:eastAsia="fr-FR"/>
                <w14:ligatures w14:val="none"/>
              </w:rPr>
              <w:t>Intégrer les OSC membres de l’ITIE dans les activités du projet ACCOSC-FFI</w:t>
            </w:r>
            <w:r>
              <w:rPr>
                <w:noProof/>
                <w:webHidden/>
              </w:rPr>
              <w:tab/>
            </w:r>
            <w:r>
              <w:rPr>
                <w:noProof/>
                <w:webHidden/>
              </w:rPr>
              <w:fldChar w:fldCharType="begin"/>
            </w:r>
            <w:r>
              <w:rPr>
                <w:noProof/>
                <w:webHidden/>
              </w:rPr>
              <w:instrText xml:space="preserve"> PAGEREF _Toc231732157 \h </w:instrText>
            </w:r>
            <w:r>
              <w:rPr>
                <w:noProof/>
                <w:webHidden/>
              </w:rPr>
            </w:r>
            <w:r>
              <w:rPr>
                <w:noProof/>
                <w:webHidden/>
              </w:rPr>
              <w:fldChar w:fldCharType="separate"/>
            </w:r>
            <w:r w:rsidR="003137B7">
              <w:rPr>
                <w:noProof/>
                <w:webHidden/>
              </w:rPr>
              <w:t>6</w:t>
            </w:r>
            <w:r>
              <w:rPr>
                <w:noProof/>
                <w:webHidden/>
              </w:rPr>
              <w:fldChar w:fldCharType="end"/>
            </w:r>
          </w:hyperlink>
        </w:p>
        <w:p w14:paraId="0A9A0661" w14:textId="69393BBD" w:rsidR="00114D95" w:rsidRDefault="00114D95">
          <w:pPr>
            <w:pStyle w:val="TM2"/>
            <w:tabs>
              <w:tab w:val="right" w:leader="dot" w:pos="9062"/>
            </w:tabs>
            <w:rPr>
              <w:noProof/>
            </w:rPr>
          </w:pPr>
          <w:hyperlink w:anchor="_Toc231732158" w:history="1">
            <w:r w:rsidRPr="003669FE">
              <w:rPr>
                <w:rStyle w:val="Lienhypertexte"/>
                <w:rFonts w:ascii="Times New Roman" w:eastAsia="Times New Roman" w:hAnsi="Times New Roman" w:cs="Times New Roman"/>
                <w:b/>
                <w:bCs/>
                <w:noProof/>
                <w:kern w:val="0"/>
                <w:lang w:eastAsia="fr-FR"/>
                <w14:ligatures w14:val="none"/>
              </w:rPr>
              <w:t>Recommandation 3 :</w:t>
            </w:r>
            <w:r>
              <w:rPr>
                <w:noProof/>
                <w:webHidden/>
              </w:rPr>
              <w:tab/>
            </w:r>
            <w:r>
              <w:rPr>
                <w:noProof/>
                <w:webHidden/>
              </w:rPr>
              <w:fldChar w:fldCharType="begin"/>
            </w:r>
            <w:r>
              <w:rPr>
                <w:noProof/>
                <w:webHidden/>
              </w:rPr>
              <w:instrText xml:space="preserve"> PAGEREF _Toc231732158 \h </w:instrText>
            </w:r>
            <w:r>
              <w:rPr>
                <w:noProof/>
                <w:webHidden/>
              </w:rPr>
            </w:r>
            <w:r>
              <w:rPr>
                <w:noProof/>
                <w:webHidden/>
              </w:rPr>
              <w:fldChar w:fldCharType="separate"/>
            </w:r>
            <w:r w:rsidR="003137B7">
              <w:rPr>
                <w:noProof/>
                <w:webHidden/>
              </w:rPr>
              <w:t>6</w:t>
            </w:r>
            <w:r>
              <w:rPr>
                <w:noProof/>
                <w:webHidden/>
              </w:rPr>
              <w:fldChar w:fldCharType="end"/>
            </w:r>
          </w:hyperlink>
        </w:p>
        <w:p w14:paraId="51F379EC" w14:textId="4308C7A0" w:rsidR="00114D95" w:rsidRDefault="00114D95">
          <w:pPr>
            <w:pStyle w:val="TM3"/>
            <w:tabs>
              <w:tab w:val="right" w:leader="dot" w:pos="9062"/>
            </w:tabs>
            <w:rPr>
              <w:noProof/>
            </w:rPr>
          </w:pPr>
          <w:hyperlink w:anchor="_Toc231732159" w:history="1">
            <w:r w:rsidRPr="003669FE">
              <w:rPr>
                <w:rStyle w:val="Lienhypertexte"/>
                <w:rFonts w:ascii="Times New Roman" w:eastAsia="Times New Roman" w:hAnsi="Times New Roman" w:cs="Times New Roman"/>
                <w:b/>
                <w:bCs/>
                <w:noProof/>
                <w:kern w:val="0"/>
                <w:lang w:eastAsia="fr-FR"/>
                <w14:ligatures w14:val="none"/>
              </w:rPr>
              <w:t>Lancer une étude de faisabilité sur l’extension du périmètre de transparence de l’ITIE au secteur forestier</w:t>
            </w:r>
            <w:r>
              <w:rPr>
                <w:noProof/>
                <w:webHidden/>
              </w:rPr>
              <w:tab/>
            </w:r>
            <w:r>
              <w:rPr>
                <w:noProof/>
                <w:webHidden/>
              </w:rPr>
              <w:fldChar w:fldCharType="begin"/>
            </w:r>
            <w:r>
              <w:rPr>
                <w:noProof/>
                <w:webHidden/>
              </w:rPr>
              <w:instrText xml:space="preserve"> PAGEREF _Toc231732159 \h </w:instrText>
            </w:r>
            <w:r>
              <w:rPr>
                <w:noProof/>
                <w:webHidden/>
              </w:rPr>
            </w:r>
            <w:r>
              <w:rPr>
                <w:noProof/>
                <w:webHidden/>
              </w:rPr>
              <w:fldChar w:fldCharType="separate"/>
            </w:r>
            <w:r w:rsidR="003137B7">
              <w:rPr>
                <w:noProof/>
                <w:webHidden/>
              </w:rPr>
              <w:t>6</w:t>
            </w:r>
            <w:r>
              <w:rPr>
                <w:noProof/>
                <w:webHidden/>
              </w:rPr>
              <w:fldChar w:fldCharType="end"/>
            </w:r>
          </w:hyperlink>
        </w:p>
        <w:p w14:paraId="049945E7" w14:textId="5C0AAACF" w:rsidR="00114D95" w:rsidRDefault="00114D95">
          <w:pPr>
            <w:pStyle w:val="TM2"/>
            <w:tabs>
              <w:tab w:val="right" w:leader="dot" w:pos="9062"/>
            </w:tabs>
            <w:rPr>
              <w:noProof/>
            </w:rPr>
          </w:pPr>
          <w:hyperlink w:anchor="_Toc231732160" w:history="1">
            <w:r w:rsidRPr="003669FE">
              <w:rPr>
                <w:rStyle w:val="Lienhypertexte"/>
                <w:rFonts w:ascii="Times New Roman" w:eastAsia="Times New Roman" w:hAnsi="Times New Roman" w:cs="Times New Roman"/>
                <w:b/>
                <w:bCs/>
                <w:noProof/>
                <w:kern w:val="0"/>
                <w:lang w:eastAsia="fr-FR"/>
                <w14:ligatures w14:val="none"/>
              </w:rPr>
              <w:t>Recommandation 4 :</w:t>
            </w:r>
            <w:r>
              <w:rPr>
                <w:noProof/>
                <w:webHidden/>
              </w:rPr>
              <w:tab/>
            </w:r>
            <w:r>
              <w:rPr>
                <w:noProof/>
                <w:webHidden/>
              </w:rPr>
              <w:fldChar w:fldCharType="begin"/>
            </w:r>
            <w:r>
              <w:rPr>
                <w:noProof/>
                <w:webHidden/>
              </w:rPr>
              <w:instrText xml:space="preserve"> PAGEREF _Toc231732160 \h </w:instrText>
            </w:r>
            <w:r>
              <w:rPr>
                <w:noProof/>
                <w:webHidden/>
              </w:rPr>
            </w:r>
            <w:r>
              <w:rPr>
                <w:noProof/>
                <w:webHidden/>
              </w:rPr>
              <w:fldChar w:fldCharType="separate"/>
            </w:r>
            <w:r w:rsidR="003137B7">
              <w:rPr>
                <w:noProof/>
                <w:webHidden/>
              </w:rPr>
              <w:t>7</w:t>
            </w:r>
            <w:r>
              <w:rPr>
                <w:noProof/>
                <w:webHidden/>
              </w:rPr>
              <w:fldChar w:fldCharType="end"/>
            </w:r>
          </w:hyperlink>
        </w:p>
        <w:p w14:paraId="071B695E" w14:textId="47DE81FA" w:rsidR="00114D95" w:rsidRDefault="00114D95">
          <w:pPr>
            <w:pStyle w:val="TM3"/>
            <w:tabs>
              <w:tab w:val="right" w:leader="dot" w:pos="9062"/>
            </w:tabs>
            <w:rPr>
              <w:noProof/>
            </w:rPr>
          </w:pPr>
          <w:hyperlink w:anchor="_Toc231732161" w:history="1">
            <w:r w:rsidRPr="003669FE">
              <w:rPr>
                <w:rStyle w:val="Lienhypertexte"/>
                <w:rFonts w:ascii="Times New Roman" w:eastAsia="Times New Roman" w:hAnsi="Times New Roman" w:cs="Times New Roman"/>
                <w:b/>
                <w:bCs/>
                <w:noProof/>
                <w:kern w:val="0"/>
                <w:lang w:eastAsia="fr-FR"/>
                <w14:ligatures w14:val="none"/>
              </w:rPr>
              <w:t>Publier les bénéficiaires effectifs des entreprises forestières titulaires de concessions</w:t>
            </w:r>
            <w:r>
              <w:rPr>
                <w:noProof/>
                <w:webHidden/>
              </w:rPr>
              <w:tab/>
            </w:r>
            <w:r>
              <w:rPr>
                <w:noProof/>
                <w:webHidden/>
              </w:rPr>
              <w:fldChar w:fldCharType="begin"/>
            </w:r>
            <w:r>
              <w:rPr>
                <w:noProof/>
                <w:webHidden/>
              </w:rPr>
              <w:instrText xml:space="preserve"> PAGEREF _Toc231732161 \h </w:instrText>
            </w:r>
            <w:r>
              <w:rPr>
                <w:noProof/>
                <w:webHidden/>
              </w:rPr>
            </w:r>
            <w:r>
              <w:rPr>
                <w:noProof/>
                <w:webHidden/>
              </w:rPr>
              <w:fldChar w:fldCharType="separate"/>
            </w:r>
            <w:r w:rsidR="003137B7">
              <w:rPr>
                <w:noProof/>
                <w:webHidden/>
              </w:rPr>
              <w:t>7</w:t>
            </w:r>
            <w:r>
              <w:rPr>
                <w:noProof/>
                <w:webHidden/>
              </w:rPr>
              <w:fldChar w:fldCharType="end"/>
            </w:r>
          </w:hyperlink>
        </w:p>
        <w:p w14:paraId="41A5E256" w14:textId="08A181D7" w:rsidR="00114D95" w:rsidRDefault="00114D95">
          <w:pPr>
            <w:pStyle w:val="TM1"/>
            <w:tabs>
              <w:tab w:val="right" w:leader="dot" w:pos="9062"/>
            </w:tabs>
            <w:rPr>
              <w:noProof/>
            </w:rPr>
          </w:pPr>
          <w:hyperlink w:anchor="_Toc231732162" w:history="1">
            <w:r w:rsidRPr="003669FE">
              <w:rPr>
                <w:rStyle w:val="Lienhypertexte"/>
                <w:rFonts w:ascii="Times New Roman" w:eastAsia="Times New Roman" w:hAnsi="Times New Roman" w:cs="Times New Roman"/>
                <w:b/>
                <w:bCs/>
                <w:noProof/>
                <w:kern w:val="36"/>
                <w:lang w:eastAsia="fr-FR"/>
                <w14:ligatures w14:val="none"/>
              </w:rPr>
              <w:t>Conclusion</w:t>
            </w:r>
            <w:r>
              <w:rPr>
                <w:noProof/>
                <w:webHidden/>
              </w:rPr>
              <w:tab/>
            </w:r>
            <w:r>
              <w:rPr>
                <w:noProof/>
                <w:webHidden/>
              </w:rPr>
              <w:fldChar w:fldCharType="begin"/>
            </w:r>
            <w:r>
              <w:rPr>
                <w:noProof/>
                <w:webHidden/>
              </w:rPr>
              <w:instrText xml:space="preserve"> PAGEREF _Toc231732162 \h </w:instrText>
            </w:r>
            <w:r>
              <w:rPr>
                <w:noProof/>
                <w:webHidden/>
              </w:rPr>
            </w:r>
            <w:r>
              <w:rPr>
                <w:noProof/>
                <w:webHidden/>
              </w:rPr>
              <w:fldChar w:fldCharType="separate"/>
            </w:r>
            <w:r w:rsidR="003137B7">
              <w:rPr>
                <w:noProof/>
                <w:webHidden/>
              </w:rPr>
              <w:t>7</w:t>
            </w:r>
            <w:r>
              <w:rPr>
                <w:noProof/>
                <w:webHidden/>
              </w:rPr>
              <w:fldChar w:fldCharType="end"/>
            </w:r>
          </w:hyperlink>
        </w:p>
        <w:p w14:paraId="63995B55" w14:textId="2938511D" w:rsidR="00114D95" w:rsidRDefault="00114D95">
          <w:r>
            <w:rPr>
              <w:b/>
              <w:bCs/>
            </w:rPr>
            <w:fldChar w:fldCharType="end"/>
          </w:r>
        </w:p>
      </w:sdtContent>
    </w:sdt>
    <w:p w14:paraId="0CC14FCE" w14:textId="64766580" w:rsidR="00114D95" w:rsidRDefault="00114D95">
      <w:pPr>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br w:type="page"/>
      </w:r>
    </w:p>
    <w:p w14:paraId="43617B88" w14:textId="77777777" w:rsidR="00BE233A" w:rsidRPr="00F445AF" w:rsidRDefault="00BE233A" w:rsidP="00F445AF">
      <w:pPr>
        <w:pStyle w:val="Titre1"/>
        <w:rPr>
          <w:rFonts w:eastAsia="Times New Roman"/>
          <w:sz w:val="28"/>
          <w:szCs w:val="28"/>
          <w:lang w:eastAsia="fr-FR"/>
        </w:rPr>
      </w:pPr>
      <w:bookmarkStart w:id="4" w:name="_Toc231732145"/>
      <w:r w:rsidRPr="00F445AF">
        <w:rPr>
          <w:rFonts w:eastAsia="Times New Roman"/>
          <w:sz w:val="28"/>
          <w:szCs w:val="28"/>
          <w:lang w:eastAsia="fr-FR"/>
        </w:rPr>
        <w:lastRenderedPageBreak/>
        <w:t>Résumé exécutif</w:t>
      </w:r>
      <w:bookmarkEnd w:id="4"/>
    </w:p>
    <w:p w14:paraId="0DCCE561"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Les flux financiers illicites (FFI), le blanchiment des capitaux (BC) et le financement du terrorisme (FT) constituent aujourd’hui des menaces majeures pour la mobilisation des ressources domestiques, la gouvernance des ressources naturelles et le financement des Objectifs de Développement Durable (ODD) en Afrique centrale.</w:t>
      </w:r>
    </w:p>
    <w:p w14:paraId="08886CF8"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Dans le cadre du projet « Action Coordonnée des Organisations de la Société Civile d’Afrique Centrale contre les Flux Financiers Illicites » (ACCOSC-FFI), le CRADEC a organisé à Yaoundé, du 02 au 05 juin 2026, un atelier sous-régional réunissant des organisations de la société civile, des journalistes et des représentants d’administrations publiques du Cameroun, du Gabon, de la République Centrafricaine et de la République Démocratique du Congo. L’objectif était de renforcer les capacités des acteurs de la société civile sur les mécanismes de génération des FFI, les risques de blanchiment des capitaux, les vulnérabilités des secteurs des ressources naturelles et les outils d’investigation fondés sur les standards internationaux.</w:t>
      </w:r>
    </w:p>
    <w:p w14:paraId="74C91871"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Les travaux de l’atelier ont mis en évidence le rôle central des secteurs extractif et forestier dans les mécanismes de fuite des capitaux, de corruption, de manipulation des prix commerciaux, de dissimulation des bénéficiaires effectifs et de blanchiment des produits issus de la criminalité environnementale. Ils ont également confirmé la pertinence de la Norme ITIE 2023 comme outil de prévention et de réduction des risques de gouvernance associés aux ressources naturelles.</w:t>
      </w:r>
    </w:p>
    <w:p w14:paraId="61BBA9A6"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note invite le Comité ITIE-Cameroun à renforcer l’implication des organisations de la société civile dans la lutte contre les FFI et à engager une réflexion stratégique sur l’intégration progressive du secteur forestier dans le périmètre national de transparence des ressources naturelles.</w:t>
      </w:r>
    </w:p>
    <w:p w14:paraId="73F4F847" w14:textId="4110BA8C" w:rsidR="00BE233A" w:rsidRPr="00F445AF" w:rsidRDefault="00BE233A" w:rsidP="00F445AF">
      <w:pPr>
        <w:pStyle w:val="Titre1"/>
        <w:rPr>
          <w:rFonts w:eastAsia="Times New Roman"/>
          <w:sz w:val="28"/>
          <w:szCs w:val="28"/>
          <w:lang w:eastAsia="fr-FR"/>
        </w:rPr>
      </w:pPr>
      <w:bookmarkStart w:id="5" w:name="_Toc231732146"/>
      <w:r w:rsidRPr="00F445AF">
        <w:rPr>
          <w:rFonts w:eastAsia="Times New Roman"/>
          <w:sz w:val="28"/>
          <w:szCs w:val="28"/>
          <w:lang w:eastAsia="fr-FR"/>
        </w:rPr>
        <w:t>Pourquoi les FFI, le blanchiment des capitaux et le financement du terrorisme concernent directement l’ITIE</w:t>
      </w:r>
      <w:bookmarkEnd w:id="5"/>
    </w:p>
    <w:p w14:paraId="17E5B867"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La Norme ITIE 2023 marque une évolution majeure de l’Initiative en dépassant la simple réconciliation des paiements pour promouvoir une gouvernance intégrée des ressources naturelles fondée sur :</w:t>
      </w:r>
    </w:p>
    <w:p w14:paraId="62DFFD97"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transparence des bénéficiaires effectifs (Exigence 2.5) ;</w:t>
      </w:r>
    </w:p>
    <w:p w14:paraId="46107035"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divulgation des contrats et licences (Exigence 2.4) ;</w:t>
      </w:r>
    </w:p>
    <w:p w14:paraId="7FAD7FBC"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transparence du commerce des matières premières (Exigence 4.2) ;</w:t>
      </w:r>
    </w:p>
    <w:p w14:paraId="3E0A515F"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gestion des entreprises publiques (Exigence 2.6) ;</w:t>
      </w:r>
    </w:p>
    <w:p w14:paraId="2CE08FF1"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l’évaluation</w:t>
      </w:r>
      <w:proofErr w:type="gramEnd"/>
      <w:r w:rsidRPr="00BE233A">
        <w:rPr>
          <w:rFonts w:ascii="Times New Roman" w:eastAsia="Times New Roman" w:hAnsi="Times New Roman" w:cs="Times New Roman"/>
          <w:kern w:val="0"/>
          <w:sz w:val="24"/>
          <w:szCs w:val="24"/>
          <w:lang w:eastAsia="fr-FR"/>
          <w14:ligatures w14:val="none"/>
        </w:rPr>
        <w:t xml:space="preserve"> des risques de corruption et de gouvernance ;</w:t>
      </w:r>
    </w:p>
    <w:p w14:paraId="3DFECFA4" w14:textId="77777777" w:rsidR="00BE233A" w:rsidRPr="00BE233A" w:rsidRDefault="00BE233A" w:rsidP="00BE233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l’utilisation</w:t>
      </w:r>
      <w:proofErr w:type="gramEnd"/>
      <w:r w:rsidRPr="00BE233A">
        <w:rPr>
          <w:rFonts w:ascii="Times New Roman" w:eastAsia="Times New Roman" w:hAnsi="Times New Roman" w:cs="Times New Roman"/>
          <w:kern w:val="0"/>
          <w:sz w:val="24"/>
          <w:szCs w:val="24"/>
          <w:lang w:eastAsia="fr-FR"/>
          <w14:ligatures w14:val="none"/>
        </w:rPr>
        <w:t xml:space="preserve"> des données pour les réformes publiques (Exigences 7.1 et 7.4).</w:t>
      </w:r>
    </w:p>
    <w:p w14:paraId="73709E2B"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Ces exigences rejoignent directement les problématiques abordées durant l’atelier sous-régional, notamment :</w:t>
      </w:r>
    </w:p>
    <w:p w14:paraId="4270BE6C"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criminalité économique transfrontalière ;</w:t>
      </w:r>
    </w:p>
    <w:p w14:paraId="7A46172A"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fausse facturation commerciale ;</w:t>
      </w:r>
    </w:p>
    <w:p w14:paraId="6DF38F9B"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sociétés écrans ;</w:t>
      </w:r>
    </w:p>
    <w:p w14:paraId="33D91622"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bénéficiaires effectifs cachés ;</w:t>
      </w:r>
    </w:p>
    <w:p w14:paraId="2A32F4B0"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lastRenderedPageBreak/>
        <w:t>les</w:t>
      </w:r>
      <w:proofErr w:type="gramEnd"/>
      <w:r w:rsidRPr="00BE233A">
        <w:rPr>
          <w:rFonts w:ascii="Times New Roman" w:eastAsia="Times New Roman" w:hAnsi="Times New Roman" w:cs="Times New Roman"/>
          <w:kern w:val="0"/>
          <w:sz w:val="24"/>
          <w:szCs w:val="24"/>
          <w:lang w:eastAsia="fr-FR"/>
          <w14:ligatures w14:val="none"/>
        </w:rPr>
        <w:t xml:space="preserve"> circuits de blanchiment des revenus issus des ressources naturelles ;</w:t>
      </w:r>
    </w:p>
    <w:p w14:paraId="7FE1D1B6" w14:textId="77777777" w:rsidR="00BE233A" w:rsidRPr="00BE233A" w:rsidRDefault="00BE233A" w:rsidP="00BE233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faiblesses institutionnelles favorisant les flux financiers illicites.</w:t>
      </w:r>
    </w:p>
    <w:p w14:paraId="153721CA"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L’atelier a notamment consacré plusieurs modules à la transparence des bénéficiaires effectifs, aux mécanismes de fuite des capitaux, aux recommandations du GAFI, aux évaluations du GABAC ainsi qu’aux liens entre criminalité environnementale et blanchiment des capitaux.</w:t>
      </w:r>
    </w:p>
    <w:p w14:paraId="7F1800CB"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Dans ce contexte, l’ITIE apparaît comme l’un des instruments les plus pertinents pour réduire les vulnérabilités structurelles qui facilitent les FFI dans les secteurs fondés sur l’exploitation des ressources naturelles.</w:t>
      </w:r>
    </w:p>
    <w:p w14:paraId="6F7466A4" w14:textId="2FEB6AA2" w:rsidR="00BE233A" w:rsidRPr="00F445AF" w:rsidRDefault="00BE233A" w:rsidP="00F445AF">
      <w:pPr>
        <w:pStyle w:val="Titre1"/>
        <w:rPr>
          <w:rFonts w:eastAsia="Times New Roman"/>
          <w:sz w:val="28"/>
          <w:szCs w:val="28"/>
          <w:lang w:eastAsia="fr-FR"/>
        </w:rPr>
      </w:pPr>
      <w:bookmarkStart w:id="6" w:name="_Toc231732147"/>
      <w:r w:rsidRPr="00F445AF">
        <w:rPr>
          <w:rFonts w:eastAsia="Times New Roman"/>
          <w:sz w:val="28"/>
          <w:szCs w:val="28"/>
          <w:lang w:eastAsia="fr-FR"/>
        </w:rPr>
        <w:t>Le secteur forestier : un risque systémique encore insuffisamment couvert</w:t>
      </w:r>
      <w:bookmarkEnd w:id="6"/>
    </w:p>
    <w:p w14:paraId="5F92A680"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Cameroun possède le deuxième massif forestier d’Afrique et figure parmi les principaux exportateurs africains de bois tropicaux.</w:t>
      </w:r>
    </w:p>
    <w:p w14:paraId="180A5F55"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Pourtant, alors que les secteurs minier, pétrolier et gazier sont couverts par les mécanismes de transparence de l’ITIE, le secteur forestier demeure relativement absent des dispositifs nationaux de divulgation systématique des informations relatives :</w:t>
      </w:r>
    </w:p>
    <w:p w14:paraId="60F809C2" w14:textId="77777777" w:rsidR="00BE233A" w:rsidRPr="00BE233A" w:rsidRDefault="00BE233A" w:rsidP="00BE233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aux</w:t>
      </w:r>
      <w:proofErr w:type="gramEnd"/>
      <w:r w:rsidRPr="00BE233A">
        <w:rPr>
          <w:rFonts w:ascii="Times New Roman" w:eastAsia="Times New Roman" w:hAnsi="Times New Roman" w:cs="Times New Roman"/>
          <w:kern w:val="0"/>
          <w:sz w:val="24"/>
          <w:szCs w:val="24"/>
          <w:lang w:eastAsia="fr-FR"/>
          <w14:ligatures w14:val="none"/>
        </w:rPr>
        <w:t xml:space="preserve"> bénéficiaires effectifs ;</w:t>
      </w:r>
    </w:p>
    <w:p w14:paraId="269B3510" w14:textId="77777777" w:rsidR="00BE233A" w:rsidRPr="00BE233A" w:rsidRDefault="00BE233A" w:rsidP="00BE233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aux</w:t>
      </w:r>
      <w:proofErr w:type="gramEnd"/>
      <w:r w:rsidRPr="00BE233A">
        <w:rPr>
          <w:rFonts w:ascii="Times New Roman" w:eastAsia="Times New Roman" w:hAnsi="Times New Roman" w:cs="Times New Roman"/>
          <w:kern w:val="0"/>
          <w:sz w:val="24"/>
          <w:szCs w:val="24"/>
          <w:lang w:eastAsia="fr-FR"/>
          <w14:ligatures w14:val="none"/>
        </w:rPr>
        <w:t xml:space="preserve"> contrats et titres d’exploitation ;</w:t>
      </w:r>
    </w:p>
    <w:p w14:paraId="2B4F7BA2" w14:textId="77777777" w:rsidR="00BE233A" w:rsidRPr="00BE233A" w:rsidRDefault="00BE233A" w:rsidP="00BE233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aux</w:t>
      </w:r>
      <w:proofErr w:type="gramEnd"/>
      <w:r w:rsidRPr="00BE233A">
        <w:rPr>
          <w:rFonts w:ascii="Times New Roman" w:eastAsia="Times New Roman" w:hAnsi="Times New Roman" w:cs="Times New Roman"/>
          <w:kern w:val="0"/>
          <w:sz w:val="24"/>
          <w:szCs w:val="24"/>
          <w:lang w:eastAsia="fr-FR"/>
          <w14:ligatures w14:val="none"/>
        </w:rPr>
        <w:t xml:space="preserve"> paiements des entreprises ;</w:t>
      </w:r>
    </w:p>
    <w:p w14:paraId="2346C102" w14:textId="77777777" w:rsidR="00BE233A" w:rsidRPr="00BE233A" w:rsidRDefault="00BE233A" w:rsidP="00BE233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aux</w:t>
      </w:r>
      <w:proofErr w:type="gramEnd"/>
      <w:r w:rsidRPr="00BE233A">
        <w:rPr>
          <w:rFonts w:ascii="Times New Roman" w:eastAsia="Times New Roman" w:hAnsi="Times New Roman" w:cs="Times New Roman"/>
          <w:kern w:val="0"/>
          <w:sz w:val="24"/>
          <w:szCs w:val="24"/>
          <w:lang w:eastAsia="fr-FR"/>
          <w14:ligatures w14:val="none"/>
        </w:rPr>
        <w:t xml:space="preserve"> flux commerciaux internationaux ;</w:t>
      </w:r>
    </w:p>
    <w:p w14:paraId="6C672451" w14:textId="77777777" w:rsidR="00BE233A" w:rsidRPr="00BE233A" w:rsidRDefault="00BE233A" w:rsidP="00BE233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aux</w:t>
      </w:r>
      <w:proofErr w:type="gramEnd"/>
      <w:r w:rsidRPr="00BE233A">
        <w:rPr>
          <w:rFonts w:ascii="Times New Roman" w:eastAsia="Times New Roman" w:hAnsi="Times New Roman" w:cs="Times New Roman"/>
          <w:kern w:val="0"/>
          <w:sz w:val="24"/>
          <w:szCs w:val="24"/>
          <w:lang w:eastAsia="fr-FR"/>
          <w14:ligatures w14:val="none"/>
        </w:rPr>
        <w:t xml:space="preserve"> risques de corruption et de blanchiment.</w:t>
      </w:r>
    </w:p>
    <w:p w14:paraId="4BE93947" w14:textId="4EB79CB1"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rapport « Secrets financiers des forêts », publié en mai 2026</w:t>
      </w:r>
      <w:r w:rsidR="00087237">
        <w:rPr>
          <w:rStyle w:val="Appelnotedebasdep"/>
          <w:rFonts w:ascii="Times New Roman" w:eastAsia="Times New Roman" w:hAnsi="Times New Roman" w:cs="Times New Roman"/>
          <w:kern w:val="0"/>
          <w:sz w:val="24"/>
          <w:szCs w:val="24"/>
          <w:lang w:eastAsia="fr-FR"/>
          <w14:ligatures w14:val="none"/>
        </w:rPr>
        <w:footnoteReference w:id="1"/>
      </w:r>
      <w:r w:rsidRPr="00BE233A">
        <w:rPr>
          <w:rFonts w:ascii="Times New Roman" w:eastAsia="Times New Roman" w:hAnsi="Times New Roman" w:cs="Times New Roman"/>
          <w:kern w:val="0"/>
          <w:sz w:val="24"/>
          <w:szCs w:val="24"/>
          <w:lang w:eastAsia="fr-FR"/>
          <w14:ligatures w14:val="none"/>
        </w:rPr>
        <w:t>, démontre que cette situation constitue un risque majeur pour la gouvernance économique et environnementale du Cameroun.</w:t>
      </w:r>
    </w:p>
    <w:p w14:paraId="4D472A64"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Les principales conclusions sont particulièrement préoccupantes :</w:t>
      </w:r>
    </w:p>
    <w:p w14:paraId="3E3210C0" w14:textId="77777777" w:rsidR="00BE233A" w:rsidRPr="00BE233A"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bookmarkStart w:id="7" w:name="_Toc231732148"/>
      <w:r w:rsidRPr="00BE233A">
        <w:rPr>
          <w:rFonts w:ascii="Times New Roman" w:eastAsia="Times New Roman" w:hAnsi="Times New Roman" w:cs="Times New Roman"/>
          <w:b/>
          <w:bCs/>
          <w:kern w:val="0"/>
          <w:sz w:val="27"/>
          <w:szCs w:val="27"/>
          <w:lang w:eastAsia="fr-FR"/>
          <w14:ligatures w14:val="none"/>
        </w:rPr>
        <w:t>a) Une perte importante de ressources naturelles</w:t>
      </w:r>
      <w:bookmarkEnd w:id="7"/>
    </w:p>
    <w:p w14:paraId="21B96819"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Cameroun a perdu environ 110 000 hectares de forêts primaires en 2025, générant près de 130 millions de tonnes équivalent CO₂ d’émissions.</w:t>
      </w:r>
    </w:p>
    <w:p w14:paraId="60DB5275" w14:textId="77777777" w:rsidR="00BE233A" w:rsidRPr="00BE233A"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bookmarkStart w:id="8" w:name="_Toc231732149"/>
      <w:r w:rsidRPr="00BE233A">
        <w:rPr>
          <w:rFonts w:ascii="Times New Roman" w:eastAsia="Times New Roman" w:hAnsi="Times New Roman" w:cs="Times New Roman"/>
          <w:b/>
          <w:bCs/>
          <w:kern w:val="0"/>
          <w:sz w:val="27"/>
          <w:szCs w:val="27"/>
          <w:lang w:eastAsia="fr-FR"/>
          <w14:ligatures w14:val="none"/>
        </w:rPr>
        <w:t>b) Des flux financiers illicites massifs</w:t>
      </w:r>
      <w:bookmarkEnd w:id="8"/>
    </w:p>
    <w:p w14:paraId="58F7485D"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L’analyse des écarts commerciaux dans le secteur du bois estime à environ 289 millions USD par an les flux financiers illicites associés au commerce forestier camerounais sur la période 2013-2023.</w:t>
      </w:r>
    </w:p>
    <w:p w14:paraId="21A00D46"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Ces pertes résultent notamment :</w:t>
      </w:r>
    </w:p>
    <w:p w14:paraId="142A0914" w14:textId="77777777" w:rsidR="00BE233A" w:rsidRPr="00BE233A" w:rsidRDefault="00BE233A" w:rsidP="00BE233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lastRenderedPageBreak/>
        <w:t>de</w:t>
      </w:r>
      <w:proofErr w:type="gramEnd"/>
      <w:r w:rsidRPr="00BE233A">
        <w:rPr>
          <w:rFonts w:ascii="Times New Roman" w:eastAsia="Times New Roman" w:hAnsi="Times New Roman" w:cs="Times New Roman"/>
          <w:kern w:val="0"/>
          <w:sz w:val="24"/>
          <w:szCs w:val="24"/>
          <w:lang w:eastAsia="fr-FR"/>
          <w14:ligatures w14:val="none"/>
        </w:rPr>
        <w:t xml:space="preserve"> la sous-déclaration des volumes exportés ;</w:t>
      </w:r>
    </w:p>
    <w:p w14:paraId="2BAB0528" w14:textId="77777777" w:rsidR="00BE233A" w:rsidRPr="00BE233A" w:rsidRDefault="00BE233A" w:rsidP="00BE233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de</w:t>
      </w:r>
      <w:proofErr w:type="gramEnd"/>
      <w:r w:rsidRPr="00BE233A">
        <w:rPr>
          <w:rFonts w:ascii="Times New Roman" w:eastAsia="Times New Roman" w:hAnsi="Times New Roman" w:cs="Times New Roman"/>
          <w:kern w:val="0"/>
          <w:sz w:val="24"/>
          <w:szCs w:val="24"/>
          <w:lang w:eastAsia="fr-FR"/>
          <w14:ligatures w14:val="none"/>
        </w:rPr>
        <w:t xml:space="preserve"> la manipulation des prix commerciaux ;</w:t>
      </w:r>
    </w:p>
    <w:p w14:paraId="5AF18E8B" w14:textId="77777777" w:rsidR="00BE233A" w:rsidRPr="00BE233A" w:rsidRDefault="00BE233A" w:rsidP="00BE233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de</w:t>
      </w:r>
      <w:proofErr w:type="gramEnd"/>
      <w:r w:rsidRPr="00BE233A">
        <w:rPr>
          <w:rFonts w:ascii="Times New Roman" w:eastAsia="Times New Roman" w:hAnsi="Times New Roman" w:cs="Times New Roman"/>
          <w:kern w:val="0"/>
          <w:sz w:val="24"/>
          <w:szCs w:val="24"/>
          <w:lang w:eastAsia="fr-FR"/>
          <w14:ligatures w14:val="none"/>
        </w:rPr>
        <w:t xml:space="preserve"> l’exploitation illégale du bois ;</w:t>
      </w:r>
    </w:p>
    <w:p w14:paraId="7FF6617B" w14:textId="77777777" w:rsidR="00BE233A" w:rsidRPr="00BE233A" w:rsidRDefault="00BE233A" w:rsidP="00BE233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de</w:t>
      </w:r>
      <w:proofErr w:type="gramEnd"/>
      <w:r w:rsidRPr="00BE233A">
        <w:rPr>
          <w:rFonts w:ascii="Times New Roman" w:eastAsia="Times New Roman" w:hAnsi="Times New Roman" w:cs="Times New Roman"/>
          <w:kern w:val="0"/>
          <w:sz w:val="24"/>
          <w:szCs w:val="24"/>
          <w:lang w:eastAsia="fr-FR"/>
          <w14:ligatures w14:val="none"/>
        </w:rPr>
        <w:t xml:space="preserve"> l’évasion fiscale ;</w:t>
      </w:r>
    </w:p>
    <w:p w14:paraId="2A06969C" w14:textId="77777777" w:rsidR="00BE233A" w:rsidRPr="00BE233A" w:rsidRDefault="00BE233A" w:rsidP="00BE233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de</w:t>
      </w:r>
      <w:proofErr w:type="gramEnd"/>
      <w:r w:rsidRPr="00BE233A">
        <w:rPr>
          <w:rFonts w:ascii="Times New Roman" w:eastAsia="Times New Roman" w:hAnsi="Times New Roman" w:cs="Times New Roman"/>
          <w:kern w:val="0"/>
          <w:sz w:val="24"/>
          <w:szCs w:val="24"/>
          <w:lang w:eastAsia="fr-FR"/>
          <w14:ligatures w14:val="none"/>
        </w:rPr>
        <w:t xml:space="preserve"> la corruption liée à l’attribution et à l’exploitation des concessions.</w:t>
      </w:r>
    </w:p>
    <w:p w14:paraId="59CC99F0" w14:textId="77777777" w:rsidR="00BE233A" w:rsidRPr="00BE233A"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bookmarkStart w:id="9" w:name="_Toc231732150"/>
      <w:r w:rsidRPr="00BE233A">
        <w:rPr>
          <w:rFonts w:ascii="Times New Roman" w:eastAsia="Times New Roman" w:hAnsi="Times New Roman" w:cs="Times New Roman"/>
          <w:b/>
          <w:bCs/>
          <w:kern w:val="0"/>
          <w:sz w:val="27"/>
          <w:szCs w:val="27"/>
          <w:lang w:eastAsia="fr-FR"/>
          <w14:ligatures w14:val="none"/>
        </w:rPr>
        <w:t>c) Une faible transparence sur les bénéficiaires effectifs</w:t>
      </w:r>
      <w:bookmarkEnd w:id="9"/>
    </w:p>
    <w:p w14:paraId="193A8008"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rapport souligne explicitement que le Cameroun a commencé à publier certaines informations relatives aux bénéficiaires effectifs dans les secteurs minier, pétrolier et gazier grâce au processus ITIE.</w:t>
      </w:r>
    </w:p>
    <w:p w14:paraId="744E5F56"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En revanche, cette transparence n’est pas encore étendue au secteur forestier, alors même que celui-ci présente des risques élevés de criminalité économique et environnementale.</w:t>
      </w:r>
    </w:p>
    <w:p w14:paraId="7DAC5B6D" w14:textId="77777777" w:rsidR="00BE233A" w:rsidRPr="00BE233A"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bookmarkStart w:id="10" w:name="_Toc231732151"/>
      <w:r w:rsidRPr="00BE233A">
        <w:rPr>
          <w:rFonts w:ascii="Times New Roman" w:eastAsia="Times New Roman" w:hAnsi="Times New Roman" w:cs="Times New Roman"/>
          <w:b/>
          <w:bCs/>
          <w:kern w:val="0"/>
          <w:sz w:val="27"/>
          <w:szCs w:val="27"/>
          <w:lang w:eastAsia="fr-FR"/>
          <w14:ligatures w14:val="none"/>
        </w:rPr>
        <w:t>d) Une convergence croissante entre exigences environnementales et exigences anti-blanchiment</w:t>
      </w:r>
      <w:bookmarkEnd w:id="10"/>
    </w:p>
    <w:p w14:paraId="583C6818"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GAFI reconnaît désormais les crimes environnementaux comme des infractions génératrices de blanchiment des capitaux. Le Règlement européen contre la déforestation (EUDR), applicable dès décembre 2026, exigera une traçabilité renforcée des produits forestiers destinés au marché européen.</w:t>
      </w:r>
    </w:p>
    <w:p w14:paraId="20725888"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évolution rapproche fortement les enjeux forestiers des préoccupations traditionnelles de l’ITIE.</w:t>
      </w:r>
    </w:p>
    <w:p w14:paraId="6E768E6A" w14:textId="29D43275" w:rsidR="00BE233A" w:rsidRPr="00F445AF" w:rsidRDefault="00BE233A" w:rsidP="00F445AF">
      <w:pPr>
        <w:pStyle w:val="Titre1"/>
        <w:rPr>
          <w:rFonts w:eastAsia="Times New Roman"/>
          <w:sz w:val="28"/>
          <w:szCs w:val="28"/>
          <w:lang w:eastAsia="fr-FR"/>
        </w:rPr>
      </w:pPr>
      <w:bookmarkStart w:id="11" w:name="_Toc231732152"/>
      <w:r w:rsidRPr="00F445AF">
        <w:rPr>
          <w:rFonts w:eastAsia="Times New Roman"/>
          <w:sz w:val="28"/>
          <w:szCs w:val="28"/>
          <w:lang w:eastAsia="fr-FR"/>
        </w:rPr>
        <w:t>Une opportunité stratégique pour l’ITIE Cameroun</w:t>
      </w:r>
      <w:bookmarkEnd w:id="11"/>
    </w:p>
    <w:p w14:paraId="55426980"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Cameroun dispose aujourd’hui d’une opportunité unique de devenir un pays pionnier en Afrique en développant une approche intégrée de la transparence des ressources naturelles.</w:t>
      </w:r>
    </w:p>
    <w:p w14:paraId="6FD62A0A"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évolution serait cohérente avec :</w:t>
      </w:r>
    </w:p>
    <w:p w14:paraId="0617B9F9"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engagements du Cameroun dans le cadre de l’ITIE ;</w:t>
      </w:r>
    </w:p>
    <w:p w14:paraId="57462E24"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recommandations du GAFI et du GABAC ;</w:t>
      </w:r>
    </w:p>
    <w:p w14:paraId="3A650D1F"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Stratégie Nationale de Développement 2020-2030 ;</w:t>
      </w:r>
    </w:p>
    <w:p w14:paraId="51B52345"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engagements climatiques du Cameroun ;</w:t>
      </w:r>
    </w:p>
    <w:p w14:paraId="2D16F312"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objectifs de mobilisation des ressources domestiques ;</w:t>
      </w:r>
    </w:p>
    <w:p w14:paraId="6477CDAE" w14:textId="77777777" w:rsidR="00BE233A" w:rsidRPr="00BE233A" w:rsidRDefault="00BE233A" w:rsidP="00BE233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exigences internationales émergentes relatives à la diligence raisonnable et à la traçabilité des chaînes d’approvisionnement.</w:t>
      </w:r>
    </w:p>
    <w:p w14:paraId="631A8BBD"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L’intégration progressive du secteur forestier dans les mécanismes de transparence inspirés de la Norme ITIE permettrait d’améliorer simultanément :</w:t>
      </w:r>
    </w:p>
    <w:p w14:paraId="0C6FB159" w14:textId="77777777" w:rsidR="00BE233A" w:rsidRPr="00BE233A" w:rsidRDefault="00BE233A" w:rsidP="00BE233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mobilisation des recettes publiques ;</w:t>
      </w:r>
    </w:p>
    <w:p w14:paraId="33F35516" w14:textId="77777777" w:rsidR="00BE233A" w:rsidRPr="00BE233A" w:rsidRDefault="00BE233A" w:rsidP="00BE233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lutte contre la corruption ;</w:t>
      </w:r>
    </w:p>
    <w:p w14:paraId="1913F7D9" w14:textId="77777777" w:rsidR="00BE233A" w:rsidRPr="00BE233A" w:rsidRDefault="00BE233A" w:rsidP="00BE233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prévention du blanchiment des capitaux ;</w:t>
      </w:r>
    </w:p>
    <w:p w14:paraId="2E1804EB" w14:textId="77777777" w:rsidR="00BE233A" w:rsidRPr="00BE233A" w:rsidRDefault="00BE233A" w:rsidP="00BE233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transparence des investissements ;</w:t>
      </w:r>
    </w:p>
    <w:p w14:paraId="6A8170FA" w14:textId="77777777" w:rsidR="00BE233A" w:rsidRPr="00BE233A" w:rsidRDefault="00BE233A" w:rsidP="00BE233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crédibilité du Cameroun auprès des marchés internationaux.</w:t>
      </w:r>
    </w:p>
    <w:p w14:paraId="37E553CB" w14:textId="77777777" w:rsidR="00BE233A" w:rsidRPr="00F445AF" w:rsidRDefault="00BE233A" w:rsidP="00F445AF">
      <w:pPr>
        <w:pStyle w:val="Titre1"/>
        <w:rPr>
          <w:rFonts w:eastAsia="Times New Roman"/>
          <w:sz w:val="28"/>
          <w:szCs w:val="28"/>
          <w:lang w:eastAsia="fr-FR"/>
        </w:rPr>
      </w:pPr>
      <w:bookmarkStart w:id="12" w:name="_Toc231732153"/>
      <w:r w:rsidRPr="00F445AF">
        <w:rPr>
          <w:rFonts w:eastAsia="Times New Roman"/>
          <w:sz w:val="28"/>
          <w:szCs w:val="28"/>
          <w:lang w:eastAsia="fr-FR"/>
        </w:rPr>
        <w:lastRenderedPageBreak/>
        <w:t>Recommandations</w:t>
      </w:r>
      <w:bookmarkEnd w:id="12"/>
    </w:p>
    <w:p w14:paraId="73CC6EE8" w14:textId="77777777" w:rsidR="00BE233A" w:rsidRPr="00F445AF" w:rsidRDefault="00BE233A" w:rsidP="00BE233A">
      <w:pPr>
        <w:spacing w:before="100" w:beforeAutospacing="1" w:after="100" w:afterAutospacing="1" w:line="240" w:lineRule="auto"/>
        <w:outlineLvl w:val="1"/>
        <w:rPr>
          <w:rFonts w:ascii="Times New Roman" w:eastAsia="Times New Roman" w:hAnsi="Times New Roman" w:cs="Times New Roman"/>
          <w:b/>
          <w:bCs/>
          <w:kern w:val="0"/>
          <w:sz w:val="24"/>
          <w:szCs w:val="24"/>
          <w:lang w:eastAsia="fr-FR"/>
          <w14:ligatures w14:val="none"/>
        </w:rPr>
      </w:pPr>
      <w:bookmarkStart w:id="13" w:name="_Toc231732154"/>
      <w:r w:rsidRPr="00F445AF">
        <w:rPr>
          <w:rFonts w:ascii="Times New Roman" w:eastAsia="Times New Roman" w:hAnsi="Times New Roman" w:cs="Times New Roman"/>
          <w:b/>
          <w:bCs/>
          <w:kern w:val="0"/>
          <w:sz w:val="24"/>
          <w:szCs w:val="24"/>
          <w:lang w:eastAsia="fr-FR"/>
          <w14:ligatures w14:val="none"/>
        </w:rPr>
        <w:t>Recommandation 1 :</w:t>
      </w:r>
      <w:bookmarkEnd w:id="13"/>
    </w:p>
    <w:p w14:paraId="04C7BB29" w14:textId="77777777" w:rsidR="00BE233A" w:rsidRPr="00F445AF"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bookmarkStart w:id="14" w:name="_Toc231732155"/>
      <w:r w:rsidRPr="00F445AF">
        <w:rPr>
          <w:rFonts w:ascii="Times New Roman" w:eastAsia="Times New Roman" w:hAnsi="Times New Roman" w:cs="Times New Roman"/>
          <w:b/>
          <w:bCs/>
          <w:kern w:val="0"/>
          <w:sz w:val="24"/>
          <w:szCs w:val="24"/>
          <w:lang w:eastAsia="fr-FR"/>
          <w14:ligatures w14:val="none"/>
        </w:rPr>
        <w:t>Créer au sein du Comité ITIE un groupe de travail « Transparence des ressources naturelles et flux financiers illicites »</w:t>
      </w:r>
      <w:bookmarkEnd w:id="14"/>
    </w:p>
    <w:p w14:paraId="7D63D78D"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 groupe multipartite associerait :</w:t>
      </w:r>
    </w:p>
    <w:p w14:paraId="7A513D3F"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administrations concernées ;</w:t>
      </w:r>
    </w:p>
    <w:p w14:paraId="19A79200"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entreprises ;</w:t>
      </w:r>
    </w:p>
    <w:p w14:paraId="4C98C412"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OSC membres de l’ITIE ;</w:t>
      </w:r>
    </w:p>
    <w:p w14:paraId="1BA6B79D"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l’ANIF</w:t>
      </w:r>
      <w:proofErr w:type="gramEnd"/>
      <w:r w:rsidRPr="00BE233A">
        <w:rPr>
          <w:rFonts w:ascii="Times New Roman" w:eastAsia="Times New Roman" w:hAnsi="Times New Roman" w:cs="Times New Roman"/>
          <w:kern w:val="0"/>
          <w:sz w:val="24"/>
          <w:szCs w:val="24"/>
          <w:lang w:eastAsia="fr-FR"/>
          <w14:ligatures w14:val="none"/>
        </w:rPr>
        <w:t xml:space="preserve"> ;</w:t>
      </w:r>
    </w:p>
    <w:p w14:paraId="65DECA0A"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administrations fiscales et douanières ;</w:t>
      </w:r>
    </w:p>
    <w:p w14:paraId="2EF9D0D4" w14:textId="77777777" w:rsidR="00BE233A" w:rsidRPr="00BE233A" w:rsidRDefault="00BE233A" w:rsidP="00BE233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institutions de contrôle.</w:t>
      </w:r>
    </w:p>
    <w:p w14:paraId="40CD1DC5"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Il serait chargé :</w:t>
      </w:r>
    </w:p>
    <w:p w14:paraId="17FBF6B8" w14:textId="77777777" w:rsidR="00BE233A" w:rsidRPr="00BE233A" w:rsidRDefault="00BE233A" w:rsidP="00BE233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d’identifier</w:t>
      </w:r>
      <w:proofErr w:type="gramEnd"/>
      <w:r w:rsidRPr="00BE233A">
        <w:rPr>
          <w:rFonts w:ascii="Times New Roman" w:eastAsia="Times New Roman" w:hAnsi="Times New Roman" w:cs="Times New Roman"/>
          <w:kern w:val="0"/>
          <w:sz w:val="24"/>
          <w:szCs w:val="24"/>
          <w:lang w:eastAsia="fr-FR"/>
          <w14:ligatures w14:val="none"/>
        </w:rPr>
        <w:t xml:space="preserve"> les principaux risques de FFI dans les chaînes de valeur extractives ;</w:t>
      </w:r>
    </w:p>
    <w:p w14:paraId="3834B6C1" w14:textId="77777777" w:rsidR="00BE233A" w:rsidRPr="00BE233A" w:rsidRDefault="00BE233A" w:rsidP="00BE233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de</w:t>
      </w:r>
      <w:proofErr w:type="gramEnd"/>
      <w:r w:rsidRPr="00BE233A">
        <w:rPr>
          <w:rFonts w:ascii="Times New Roman" w:eastAsia="Times New Roman" w:hAnsi="Times New Roman" w:cs="Times New Roman"/>
          <w:kern w:val="0"/>
          <w:sz w:val="24"/>
          <w:szCs w:val="24"/>
          <w:lang w:eastAsia="fr-FR"/>
          <w14:ligatures w14:val="none"/>
        </w:rPr>
        <w:t xml:space="preserve"> produire des analyses périodiques ;</w:t>
      </w:r>
    </w:p>
    <w:p w14:paraId="5953CFA5" w14:textId="77777777" w:rsidR="00BE233A" w:rsidRPr="00BE233A" w:rsidRDefault="00BE233A" w:rsidP="00BE233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d’alimenter</w:t>
      </w:r>
      <w:proofErr w:type="gramEnd"/>
      <w:r w:rsidRPr="00BE233A">
        <w:rPr>
          <w:rFonts w:ascii="Times New Roman" w:eastAsia="Times New Roman" w:hAnsi="Times New Roman" w:cs="Times New Roman"/>
          <w:kern w:val="0"/>
          <w:sz w:val="24"/>
          <w:szCs w:val="24"/>
          <w:lang w:eastAsia="fr-FR"/>
          <w14:ligatures w14:val="none"/>
        </w:rPr>
        <w:t xml:space="preserve"> les rapports ITIE par des informations relatives aux risques de gouvernance.</w:t>
      </w:r>
    </w:p>
    <w:p w14:paraId="027F9316" w14:textId="77777777" w:rsidR="00BE233A" w:rsidRPr="00F445AF" w:rsidRDefault="00BE233A" w:rsidP="00BE233A">
      <w:pPr>
        <w:spacing w:before="100" w:beforeAutospacing="1" w:after="100" w:afterAutospacing="1" w:line="240" w:lineRule="auto"/>
        <w:outlineLvl w:val="1"/>
        <w:rPr>
          <w:rFonts w:ascii="Times New Roman" w:eastAsia="Times New Roman" w:hAnsi="Times New Roman" w:cs="Times New Roman"/>
          <w:b/>
          <w:bCs/>
          <w:kern w:val="0"/>
          <w:sz w:val="24"/>
          <w:szCs w:val="24"/>
          <w:lang w:eastAsia="fr-FR"/>
          <w14:ligatures w14:val="none"/>
        </w:rPr>
      </w:pPr>
      <w:bookmarkStart w:id="15" w:name="_Toc231732156"/>
      <w:r w:rsidRPr="00F445AF">
        <w:rPr>
          <w:rFonts w:ascii="Times New Roman" w:eastAsia="Times New Roman" w:hAnsi="Times New Roman" w:cs="Times New Roman"/>
          <w:b/>
          <w:bCs/>
          <w:kern w:val="0"/>
          <w:sz w:val="24"/>
          <w:szCs w:val="24"/>
          <w:lang w:eastAsia="fr-FR"/>
          <w14:ligatures w14:val="none"/>
        </w:rPr>
        <w:t>Recommandation 2 :</w:t>
      </w:r>
      <w:bookmarkEnd w:id="15"/>
    </w:p>
    <w:p w14:paraId="733A6890" w14:textId="77777777" w:rsidR="00BE233A" w:rsidRPr="00F445AF"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bookmarkStart w:id="16" w:name="_Toc231732157"/>
      <w:r w:rsidRPr="00F445AF">
        <w:rPr>
          <w:rFonts w:ascii="Times New Roman" w:eastAsia="Times New Roman" w:hAnsi="Times New Roman" w:cs="Times New Roman"/>
          <w:b/>
          <w:bCs/>
          <w:kern w:val="0"/>
          <w:sz w:val="24"/>
          <w:szCs w:val="24"/>
          <w:lang w:eastAsia="fr-FR"/>
          <w14:ligatures w14:val="none"/>
        </w:rPr>
        <w:t>Intégrer les OSC membres de l’ITIE dans les activités du projet ACCOSC-FFI</w:t>
      </w:r>
      <w:bookmarkEnd w:id="16"/>
    </w:p>
    <w:p w14:paraId="22CA57A6"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 Comité ITIE devrait encourager la participation active des OSC membres aux :</w:t>
      </w:r>
    </w:p>
    <w:p w14:paraId="4791451C" w14:textId="77777777" w:rsidR="00BE233A" w:rsidRPr="00BE233A" w:rsidRDefault="00BE233A" w:rsidP="00BE233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recherches</w:t>
      </w:r>
      <w:proofErr w:type="gramEnd"/>
      <w:r w:rsidRPr="00BE233A">
        <w:rPr>
          <w:rFonts w:ascii="Times New Roman" w:eastAsia="Times New Roman" w:hAnsi="Times New Roman" w:cs="Times New Roman"/>
          <w:kern w:val="0"/>
          <w:sz w:val="24"/>
          <w:szCs w:val="24"/>
          <w:lang w:eastAsia="fr-FR"/>
          <w14:ligatures w14:val="none"/>
        </w:rPr>
        <w:t xml:space="preserve"> nationales sur les FFI ;</w:t>
      </w:r>
    </w:p>
    <w:p w14:paraId="2B1519CA" w14:textId="77777777" w:rsidR="00BE233A" w:rsidRPr="00BE233A" w:rsidRDefault="00BE233A" w:rsidP="00BE233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campagnes</w:t>
      </w:r>
      <w:proofErr w:type="gramEnd"/>
      <w:r w:rsidRPr="00BE233A">
        <w:rPr>
          <w:rFonts w:ascii="Times New Roman" w:eastAsia="Times New Roman" w:hAnsi="Times New Roman" w:cs="Times New Roman"/>
          <w:kern w:val="0"/>
          <w:sz w:val="24"/>
          <w:szCs w:val="24"/>
          <w:lang w:eastAsia="fr-FR"/>
          <w14:ligatures w14:val="none"/>
        </w:rPr>
        <w:t xml:space="preserve"> de sensibilisation ;</w:t>
      </w:r>
    </w:p>
    <w:p w14:paraId="638B3352" w14:textId="77777777" w:rsidR="00BE233A" w:rsidRPr="00BE233A" w:rsidRDefault="00BE233A" w:rsidP="00BE233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travaux</w:t>
      </w:r>
      <w:proofErr w:type="gramEnd"/>
      <w:r w:rsidRPr="00BE233A">
        <w:rPr>
          <w:rFonts w:ascii="Times New Roman" w:eastAsia="Times New Roman" w:hAnsi="Times New Roman" w:cs="Times New Roman"/>
          <w:kern w:val="0"/>
          <w:sz w:val="24"/>
          <w:szCs w:val="24"/>
          <w:lang w:eastAsia="fr-FR"/>
          <w14:ligatures w14:val="none"/>
        </w:rPr>
        <w:t xml:space="preserve"> sur les bénéficiaires effectifs ;</w:t>
      </w:r>
    </w:p>
    <w:p w14:paraId="6E3CC1EE" w14:textId="77777777" w:rsidR="00BE233A" w:rsidRPr="00BE233A" w:rsidRDefault="00BE233A" w:rsidP="00BE233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initiatives</w:t>
      </w:r>
      <w:proofErr w:type="gramEnd"/>
      <w:r w:rsidRPr="00BE233A">
        <w:rPr>
          <w:rFonts w:ascii="Times New Roman" w:eastAsia="Times New Roman" w:hAnsi="Times New Roman" w:cs="Times New Roman"/>
          <w:kern w:val="0"/>
          <w:sz w:val="24"/>
          <w:szCs w:val="24"/>
          <w:lang w:eastAsia="fr-FR"/>
          <w14:ligatures w14:val="none"/>
        </w:rPr>
        <w:t xml:space="preserve"> de suivi citoyen des revenus des ressources naturelles.</w:t>
      </w:r>
    </w:p>
    <w:p w14:paraId="2BE8ABF1"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collaboration permettrait de renforcer la contribution de la société civile à la prévention des risques identifiés par les évaluations GAFI et GABAC.</w:t>
      </w:r>
    </w:p>
    <w:p w14:paraId="1315A7AE" w14:textId="77777777" w:rsidR="00BE233A" w:rsidRPr="00F445AF" w:rsidRDefault="00BE233A" w:rsidP="00BE233A">
      <w:pPr>
        <w:spacing w:before="100" w:beforeAutospacing="1" w:after="100" w:afterAutospacing="1" w:line="240" w:lineRule="auto"/>
        <w:outlineLvl w:val="1"/>
        <w:rPr>
          <w:rFonts w:ascii="Times New Roman" w:eastAsia="Times New Roman" w:hAnsi="Times New Roman" w:cs="Times New Roman"/>
          <w:b/>
          <w:bCs/>
          <w:kern w:val="0"/>
          <w:sz w:val="24"/>
          <w:szCs w:val="24"/>
          <w:lang w:eastAsia="fr-FR"/>
          <w14:ligatures w14:val="none"/>
        </w:rPr>
      </w:pPr>
      <w:bookmarkStart w:id="17" w:name="_Toc231732158"/>
      <w:r w:rsidRPr="00F445AF">
        <w:rPr>
          <w:rFonts w:ascii="Times New Roman" w:eastAsia="Times New Roman" w:hAnsi="Times New Roman" w:cs="Times New Roman"/>
          <w:b/>
          <w:bCs/>
          <w:kern w:val="0"/>
          <w:sz w:val="24"/>
          <w:szCs w:val="24"/>
          <w:lang w:eastAsia="fr-FR"/>
          <w14:ligatures w14:val="none"/>
        </w:rPr>
        <w:t>Recommandation 3 :</w:t>
      </w:r>
      <w:bookmarkEnd w:id="17"/>
    </w:p>
    <w:p w14:paraId="40CE70CA" w14:textId="77777777" w:rsidR="00BE233A" w:rsidRPr="00F445AF"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bookmarkStart w:id="18" w:name="_Toc231732159"/>
      <w:r w:rsidRPr="00F445AF">
        <w:rPr>
          <w:rFonts w:ascii="Times New Roman" w:eastAsia="Times New Roman" w:hAnsi="Times New Roman" w:cs="Times New Roman"/>
          <w:b/>
          <w:bCs/>
          <w:kern w:val="0"/>
          <w:sz w:val="24"/>
          <w:szCs w:val="24"/>
          <w:lang w:eastAsia="fr-FR"/>
          <w14:ligatures w14:val="none"/>
        </w:rPr>
        <w:t>Lancer une étude de faisabilité sur l’extension du périmètre de transparence de l’ITIE au secteur forestier</w:t>
      </w:r>
      <w:bookmarkEnd w:id="18"/>
    </w:p>
    <w:p w14:paraId="4AC9C029"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étude devrait analyser :</w:t>
      </w:r>
    </w:p>
    <w:p w14:paraId="38DDC960"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risques de corruption ;</w:t>
      </w:r>
    </w:p>
    <w:p w14:paraId="2F83319B"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mécanismes de fausse facturation commerciale ;</w:t>
      </w:r>
    </w:p>
    <w:p w14:paraId="5712D6F5"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flux financiers illicites ;</w:t>
      </w:r>
    </w:p>
    <w:p w14:paraId="08CD5212"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dispositifs de divulgation des bénéficiaires effectifs ;</w:t>
      </w:r>
    </w:p>
    <w:p w14:paraId="47D22094"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les</w:t>
      </w:r>
      <w:proofErr w:type="gramEnd"/>
      <w:r w:rsidRPr="00BE233A">
        <w:rPr>
          <w:rFonts w:ascii="Times New Roman" w:eastAsia="Times New Roman" w:hAnsi="Times New Roman" w:cs="Times New Roman"/>
          <w:kern w:val="0"/>
          <w:sz w:val="24"/>
          <w:szCs w:val="24"/>
          <w:lang w:eastAsia="fr-FR"/>
          <w14:ligatures w14:val="none"/>
        </w:rPr>
        <w:t xml:space="preserve"> paiements des entreprises forestières ;</w:t>
      </w:r>
    </w:p>
    <w:p w14:paraId="6338B5C4" w14:textId="77777777" w:rsidR="00BE233A" w:rsidRPr="00BE233A" w:rsidRDefault="00BE233A" w:rsidP="00BE233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la</w:t>
      </w:r>
      <w:proofErr w:type="gramEnd"/>
      <w:r w:rsidRPr="00BE233A">
        <w:rPr>
          <w:rFonts w:ascii="Times New Roman" w:eastAsia="Times New Roman" w:hAnsi="Times New Roman" w:cs="Times New Roman"/>
          <w:kern w:val="0"/>
          <w:sz w:val="24"/>
          <w:szCs w:val="24"/>
          <w:lang w:eastAsia="fr-FR"/>
          <w14:ligatures w14:val="none"/>
        </w:rPr>
        <w:t xml:space="preserve"> compatibilité avec les exigences de la Norme ITIE 2023.</w:t>
      </w:r>
    </w:p>
    <w:p w14:paraId="0EAEC1E9" w14:textId="77777777" w:rsidR="00BE233A" w:rsidRPr="00114D95" w:rsidRDefault="00BE233A" w:rsidP="00BE233A">
      <w:pPr>
        <w:spacing w:before="100" w:beforeAutospacing="1" w:after="100" w:afterAutospacing="1" w:line="240" w:lineRule="auto"/>
        <w:outlineLvl w:val="1"/>
        <w:rPr>
          <w:rFonts w:ascii="Times New Roman" w:eastAsia="Times New Roman" w:hAnsi="Times New Roman" w:cs="Times New Roman"/>
          <w:b/>
          <w:bCs/>
          <w:kern w:val="0"/>
          <w:sz w:val="24"/>
          <w:szCs w:val="24"/>
          <w:lang w:eastAsia="fr-FR"/>
          <w14:ligatures w14:val="none"/>
        </w:rPr>
      </w:pPr>
      <w:bookmarkStart w:id="19" w:name="_Toc231732160"/>
      <w:r w:rsidRPr="00114D95">
        <w:rPr>
          <w:rFonts w:ascii="Times New Roman" w:eastAsia="Times New Roman" w:hAnsi="Times New Roman" w:cs="Times New Roman"/>
          <w:b/>
          <w:bCs/>
          <w:kern w:val="0"/>
          <w:sz w:val="24"/>
          <w:szCs w:val="24"/>
          <w:lang w:eastAsia="fr-FR"/>
          <w14:ligatures w14:val="none"/>
        </w:rPr>
        <w:lastRenderedPageBreak/>
        <w:t>Recommandation 4 :</w:t>
      </w:r>
      <w:bookmarkEnd w:id="19"/>
    </w:p>
    <w:p w14:paraId="6151CFF3" w14:textId="77777777" w:rsidR="00BE233A" w:rsidRPr="00114D95" w:rsidRDefault="00BE233A" w:rsidP="00BE233A">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bookmarkStart w:id="20" w:name="_Toc231732161"/>
      <w:r w:rsidRPr="00114D95">
        <w:rPr>
          <w:rFonts w:ascii="Times New Roman" w:eastAsia="Times New Roman" w:hAnsi="Times New Roman" w:cs="Times New Roman"/>
          <w:b/>
          <w:bCs/>
          <w:kern w:val="0"/>
          <w:sz w:val="24"/>
          <w:szCs w:val="24"/>
          <w:lang w:eastAsia="fr-FR"/>
          <w14:ligatures w14:val="none"/>
        </w:rPr>
        <w:t>Publier les bénéficiaires effectifs des entreprises forestières titulaires de concessions</w:t>
      </w:r>
      <w:bookmarkEnd w:id="20"/>
    </w:p>
    <w:p w14:paraId="1AA381FC"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Cette mesure constituerait une extension logique de l’Exigence 2.5 de la Norme ITIE et contribuerait à :</w:t>
      </w:r>
    </w:p>
    <w:p w14:paraId="0DBE58D2" w14:textId="77777777" w:rsidR="00BE233A" w:rsidRPr="00BE233A" w:rsidRDefault="00BE233A" w:rsidP="00BE233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réduire</w:t>
      </w:r>
      <w:proofErr w:type="gramEnd"/>
      <w:r w:rsidRPr="00BE233A">
        <w:rPr>
          <w:rFonts w:ascii="Times New Roman" w:eastAsia="Times New Roman" w:hAnsi="Times New Roman" w:cs="Times New Roman"/>
          <w:kern w:val="0"/>
          <w:sz w:val="24"/>
          <w:szCs w:val="24"/>
          <w:lang w:eastAsia="fr-FR"/>
          <w14:ligatures w14:val="none"/>
        </w:rPr>
        <w:t xml:space="preserve"> les conflits d’intérêts ;</w:t>
      </w:r>
    </w:p>
    <w:p w14:paraId="5A623393" w14:textId="77777777" w:rsidR="00BE233A" w:rsidRPr="00BE233A" w:rsidRDefault="00BE233A" w:rsidP="00BE233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prévenir</w:t>
      </w:r>
      <w:proofErr w:type="gramEnd"/>
      <w:r w:rsidRPr="00BE233A">
        <w:rPr>
          <w:rFonts w:ascii="Times New Roman" w:eastAsia="Times New Roman" w:hAnsi="Times New Roman" w:cs="Times New Roman"/>
          <w:kern w:val="0"/>
          <w:sz w:val="24"/>
          <w:szCs w:val="24"/>
          <w:lang w:eastAsia="fr-FR"/>
          <w14:ligatures w14:val="none"/>
        </w:rPr>
        <w:t xml:space="preserve"> l’utilisation de sociétés écrans ;</w:t>
      </w:r>
    </w:p>
    <w:p w14:paraId="04616C97" w14:textId="77777777" w:rsidR="00BE233A" w:rsidRPr="00BE233A" w:rsidRDefault="00BE233A" w:rsidP="00BE233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renforcer</w:t>
      </w:r>
      <w:proofErr w:type="gramEnd"/>
      <w:r w:rsidRPr="00BE233A">
        <w:rPr>
          <w:rFonts w:ascii="Times New Roman" w:eastAsia="Times New Roman" w:hAnsi="Times New Roman" w:cs="Times New Roman"/>
          <w:kern w:val="0"/>
          <w:sz w:val="24"/>
          <w:szCs w:val="24"/>
          <w:lang w:eastAsia="fr-FR"/>
          <w14:ligatures w14:val="none"/>
        </w:rPr>
        <w:t xml:space="preserve"> la traçabilité des investissements ;</w:t>
      </w:r>
    </w:p>
    <w:p w14:paraId="288F9CB2" w14:textId="77777777" w:rsidR="00BE233A" w:rsidRPr="00BE233A" w:rsidRDefault="00BE233A" w:rsidP="00BE233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E233A">
        <w:rPr>
          <w:rFonts w:ascii="Times New Roman" w:eastAsia="Times New Roman" w:hAnsi="Times New Roman" w:cs="Times New Roman"/>
          <w:kern w:val="0"/>
          <w:sz w:val="24"/>
          <w:szCs w:val="24"/>
          <w:lang w:eastAsia="fr-FR"/>
          <w14:ligatures w14:val="none"/>
        </w:rPr>
        <w:t>limiter</w:t>
      </w:r>
      <w:proofErr w:type="gramEnd"/>
      <w:r w:rsidRPr="00BE233A">
        <w:rPr>
          <w:rFonts w:ascii="Times New Roman" w:eastAsia="Times New Roman" w:hAnsi="Times New Roman" w:cs="Times New Roman"/>
          <w:kern w:val="0"/>
          <w:sz w:val="24"/>
          <w:szCs w:val="24"/>
          <w:lang w:eastAsia="fr-FR"/>
          <w14:ligatures w14:val="none"/>
        </w:rPr>
        <w:t xml:space="preserve"> les risques de blanchiment liés aux crimes environnementaux.</w:t>
      </w:r>
    </w:p>
    <w:p w14:paraId="17E8E093" w14:textId="77777777" w:rsidR="00BE233A" w:rsidRPr="00087237" w:rsidRDefault="00BE233A" w:rsidP="00BE233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14:ligatures w14:val="none"/>
        </w:rPr>
      </w:pPr>
      <w:bookmarkStart w:id="21" w:name="_Toc231732162"/>
      <w:r w:rsidRPr="00087237">
        <w:rPr>
          <w:rFonts w:ascii="Times New Roman" w:eastAsia="Times New Roman" w:hAnsi="Times New Roman" w:cs="Times New Roman"/>
          <w:b/>
          <w:bCs/>
          <w:kern w:val="36"/>
          <w:sz w:val="32"/>
          <w:szCs w:val="32"/>
          <w:lang w:eastAsia="fr-FR"/>
          <w14:ligatures w14:val="none"/>
        </w:rPr>
        <w:t>Conclusion</w:t>
      </w:r>
      <w:bookmarkEnd w:id="21"/>
    </w:p>
    <w:p w14:paraId="5BFC26B7"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Les enseignements de l’atelier sous-régional de Yaoundé démontrent que les flux financiers illicites, le blanchiment des capitaux et la criminalité environnementale constituent désormais des défis majeurs pour la gouvernance des ressources naturelles en Afrique centrale.</w:t>
      </w:r>
    </w:p>
    <w:p w14:paraId="736626F9" w14:textId="77777777" w:rsidR="00BE233A" w:rsidRPr="00BE233A" w:rsidRDefault="00BE233A" w:rsidP="00BE233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233A">
        <w:rPr>
          <w:rFonts w:ascii="Times New Roman" w:eastAsia="Times New Roman" w:hAnsi="Times New Roman" w:cs="Times New Roman"/>
          <w:kern w:val="0"/>
          <w:sz w:val="24"/>
          <w:szCs w:val="24"/>
          <w:lang w:eastAsia="fr-FR"/>
          <w14:ligatures w14:val="none"/>
        </w:rPr>
        <w:t>Face à des pertes estimées à près de 289 millions USD par an dans le seul secteur forestier camerounais et à l’émergence de nouvelles exigences internationales en matière de transparence, le Comité ITIE-Cameroun dispose d'une occasion stratégique d'élargir son rôle de plateforme nationale de gouvernance des ressources naturelles.</w:t>
      </w:r>
    </w:p>
    <w:p w14:paraId="722833C2" w14:textId="066CD0C1" w:rsidR="00CC01E7" w:rsidRPr="00BE233A" w:rsidRDefault="00BE233A" w:rsidP="00114D95">
      <w:pPr>
        <w:spacing w:before="100" w:beforeAutospacing="1" w:after="100" w:afterAutospacing="1" w:line="240" w:lineRule="auto"/>
      </w:pPr>
      <w:r w:rsidRPr="00BE233A">
        <w:rPr>
          <w:rFonts w:ascii="Times New Roman" w:eastAsia="Times New Roman" w:hAnsi="Times New Roman" w:cs="Times New Roman"/>
          <w:kern w:val="0"/>
          <w:sz w:val="24"/>
          <w:szCs w:val="24"/>
          <w:lang w:eastAsia="fr-FR"/>
          <w14:ligatures w14:val="none"/>
        </w:rPr>
        <w:t>Le renforcement de l’engagement des OSC et l’intégration progressive du secteur forestier dans les mécanismes de transparence inspirés de la Norme ITIE 2023 contribueraient significativement à la lutte contre les flux financiers illicites, à l’amélioration de la mobilisation des ressources domestiques et au financement durable du développement du Cameroun.</w:t>
      </w:r>
    </w:p>
    <w:sectPr w:rsidR="00CC01E7" w:rsidRPr="00BE233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5928" w14:textId="77777777" w:rsidR="0022410B" w:rsidRDefault="0022410B" w:rsidP="003137B7">
      <w:pPr>
        <w:spacing w:after="0" w:line="240" w:lineRule="auto"/>
      </w:pPr>
      <w:r>
        <w:separator/>
      </w:r>
    </w:p>
  </w:endnote>
  <w:endnote w:type="continuationSeparator" w:id="0">
    <w:p w14:paraId="433DA56E" w14:textId="77777777" w:rsidR="0022410B" w:rsidRDefault="0022410B" w:rsidP="0031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05353"/>
      <w:docPartObj>
        <w:docPartGallery w:val="Page Numbers (Bottom of Page)"/>
        <w:docPartUnique/>
      </w:docPartObj>
    </w:sdtPr>
    <w:sdtContent>
      <w:sdt>
        <w:sdtPr>
          <w:id w:val="-1769616900"/>
          <w:docPartObj>
            <w:docPartGallery w:val="Page Numbers (Top of Page)"/>
            <w:docPartUnique/>
          </w:docPartObj>
        </w:sdtPr>
        <w:sdtContent>
          <w:p w14:paraId="447E2163" w14:textId="194EAB71" w:rsidR="003137B7" w:rsidRDefault="003137B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23B38A" w14:textId="77777777" w:rsidR="003137B7" w:rsidRDefault="003137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F82F" w14:textId="77777777" w:rsidR="0022410B" w:rsidRDefault="0022410B" w:rsidP="003137B7">
      <w:pPr>
        <w:spacing w:after="0" w:line="240" w:lineRule="auto"/>
      </w:pPr>
      <w:r>
        <w:separator/>
      </w:r>
    </w:p>
  </w:footnote>
  <w:footnote w:type="continuationSeparator" w:id="0">
    <w:p w14:paraId="129CCE2B" w14:textId="77777777" w:rsidR="0022410B" w:rsidRDefault="0022410B" w:rsidP="003137B7">
      <w:pPr>
        <w:spacing w:after="0" w:line="240" w:lineRule="auto"/>
      </w:pPr>
      <w:r>
        <w:continuationSeparator/>
      </w:r>
    </w:p>
  </w:footnote>
  <w:footnote w:id="1">
    <w:p w14:paraId="7503240A" w14:textId="2BBD67C1" w:rsidR="00087237" w:rsidRDefault="00087237">
      <w:pPr>
        <w:pStyle w:val="Notedebasdepage"/>
      </w:pPr>
      <w:r>
        <w:rPr>
          <w:rStyle w:val="Appelnotedebasdep"/>
        </w:rPr>
        <w:footnoteRef/>
      </w:r>
      <w:r>
        <w:t xml:space="preserve"> </w:t>
      </w:r>
      <w:hyperlink r:id="rId1" w:history="1">
        <w:r w:rsidRPr="00BB0E77">
          <w:rPr>
            <w:rStyle w:val="Lienhypertexte"/>
          </w:rPr>
          <w:t>https://financialtransparency.org/wp-content/uploads/2026/05/EN-Financial-Secrets-of-the-Forests-26-May-2026.pdf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20B"/>
    <w:multiLevelType w:val="multilevel"/>
    <w:tmpl w:val="56F0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187E"/>
    <w:multiLevelType w:val="multilevel"/>
    <w:tmpl w:val="BD8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1240"/>
    <w:multiLevelType w:val="multilevel"/>
    <w:tmpl w:val="85C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F75CF"/>
    <w:multiLevelType w:val="multilevel"/>
    <w:tmpl w:val="933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5507"/>
    <w:multiLevelType w:val="multilevel"/>
    <w:tmpl w:val="6736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104E4"/>
    <w:multiLevelType w:val="multilevel"/>
    <w:tmpl w:val="954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76B78"/>
    <w:multiLevelType w:val="multilevel"/>
    <w:tmpl w:val="57FC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91247"/>
    <w:multiLevelType w:val="multilevel"/>
    <w:tmpl w:val="ACB2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55604"/>
    <w:multiLevelType w:val="multilevel"/>
    <w:tmpl w:val="2B6E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328AB"/>
    <w:multiLevelType w:val="multilevel"/>
    <w:tmpl w:val="B154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B537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57F23429"/>
    <w:multiLevelType w:val="multilevel"/>
    <w:tmpl w:val="6DD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87E23"/>
    <w:multiLevelType w:val="multilevel"/>
    <w:tmpl w:val="A848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B3CC6"/>
    <w:multiLevelType w:val="multilevel"/>
    <w:tmpl w:val="6B6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E7F83"/>
    <w:multiLevelType w:val="multilevel"/>
    <w:tmpl w:val="2E66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80E18"/>
    <w:multiLevelType w:val="multilevel"/>
    <w:tmpl w:val="C6C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26DB2"/>
    <w:multiLevelType w:val="multilevel"/>
    <w:tmpl w:val="0EB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381424">
    <w:abstractNumId w:val="11"/>
  </w:num>
  <w:num w:numId="2" w16cid:durableId="1247838122">
    <w:abstractNumId w:val="8"/>
  </w:num>
  <w:num w:numId="3" w16cid:durableId="1140686222">
    <w:abstractNumId w:val="13"/>
  </w:num>
  <w:num w:numId="4" w16cid:durableId="254939345">
    <w:abstractNumId w:val="1"/>
  </w:num>
  <w:num w:numId="5" w16cid:durableId="141430685">
    <w:abstractNumId w:val="9"/>
  </w:num>
  <w:num w:numId="6" w16cid:durableId="1657682497">
    <w:abstractNumId w:val="3"/>
  </w:num>
  <w:num w:numId="7" w16cid:durableId="820392949">
    <w:abstractNumId w:val="4"/>
  </w:num>
  <w:num w:numId="8" w16cid:durableId="1508015012">
    <w:abstractNumId w:val="16"/>
  </w:num>
  <w:num w:numId="9" w16cid:durableId="1826313604">
    <w:abstractNumId w:val="5"/>
  </w:num>
  <w:num w:numId="10" w16cid:durableId="94711087">
    <w:abstractNumId w:val="12"/>
  </w:num>
  <w:num w:numId="11" w16cid:durableId="133528574">
    <w:abstractNumId w:val="6"/>
  </w:num>
  <w:num w:numId="12" w16cid:durableId="1695957243">
    <w:abstractNumId w:val="0"/>
  </w:num>
  <w:num w:numId="13" w16cid:durableId="328600250">
    <w:abstractNumId w:val="2"/>
  </w:num>
  <w:num w:numId="14" w16cid:durableId="880173538">
    <w:abstractNumId w:val="7"/>
  </w:num>
  <w:num w:numId="15" w16cid:durableId="1894466787">
    <w:abstractNumId w:val="14"/>
  </w:num>
  <w:num w:numId="16" w16cid:durableId="138500195">
    <w:abstractNumId w:val="15"/>
  </w:num>
  <w:num w:numId="17" w16cid:durableId="1382290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1"/>
    <w:rsid w:val="00087237"/>
    <w:rsid w:val="00114D95"/>
    <w:rsid w:val="001B13F1"/>
    <w:rsid w:val="0022410B"/>
    <w:rsid w:val="003137B7"/>
    <w:rsid w:val="0050213F"/>
    <w:rsid w:val="00914C3E"/>
    <w:rsid w:val="009C0163"/>
    <w:rsid w:val="009F36AA"/>
    <w:rsid w:val="00A0621B"/>
    <w:rsid w:val="00BE233A"/>
    <w:rsid w:val="00CC01E7"/>
    <w:rsid w:val="00EE378D"/>
    <w:rsid w:val="00F222CC"/>
    <w:rsid w:val="00F331D7"/>
    <w:rsid w:val="00F445AF"/>
    <w:rsid w:val="00FC2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7C20"/>
  <w15:chartTrackingRefBased/>
  <w15:docId w15:val="{D44E7D74-3187-4232-AC00-B609B970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3F1"/>
    <w:pPr>
      <w:keepNext/>
      <w:keepLines/>
      <w:numPr>
        <w:numId w:val="17"/>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B13F1"/>
    <w:pPr>
      <w:keepNext/>
      <w:keepLines/>
      <w:numPr>
        <w:ilvl w:val="1"/>
        <w:numId w:val="17"/>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B13F1"/>
    <w:pPr>
      <w:keepNext/>
      <w:keepLines/>
      <w:numPr>
        <w:ilvl w:val="2"/>
        <w:numId w:val="17"/>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B13F1"/>
    <w:pPr>
      <w:keepNext/>
      <w:keepLines/>
      <w:numPr>
        <w:ilvl w:val="3"/>
        <w:numId w:val="17"/>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B13F1"/>
    <w:pPr>
      <w:keepNext/>
      <w:keepLines/>
      <w:numPr>
        <w:ilvl w:val="4"/>
        <w:numId w:val="17"/>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13F1"/>
    <w:pPr>
      <w:keepNext/>
      <w:keepLines/>
      <w:numPr>
        <w:ilvl w:val="5"/>
        <w:numId w:val="17"/>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13F1"/>
    <w:pPr>
      <w:keepNext/>
      <w:keepLines/>
      <w:numPr>
        <w:ilvl w:val="6"/>
        <w:numId w:val="17"/>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13F1"/>
    <w:pPr>
      <w:keepNext/>
      <w:keepLines/>
      <w:numPr>
        <w:ilvl w:val="7"/>
        <w:numId w:val="17"/>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13F1"/>
    <w:pPr>
      <w:keepNext/>
      <w:keepLines/>
      <w:numPr>
        <w:ilvl w:val="8"/>
        <w:numId w:val="17"/>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3F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B13F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B13F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B13F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B13F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13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13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13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13F1"/>
    <w:rPr>
      <w:rFonts w:eastAsiaTheme="majorEastAsia" w:cstheme="majorBidi"/>
      <w:color w:val="272727" w:themeColor="text1" w:themeTint="D8"/>
    </w:rPr>
  </w:style>
  <w:style w:type="paragraph" w:styleId="Titre">
    <w:name w:val="Title"/>
    <w:basedOn w:val="Normal"/>
    <w:next w:val="Normal"/>
    <w:link w:val="TitreCar"/>
    <w:uiPriority w:val="10"/>
    <w:qFormat/>
    <w:rsid w:val="001B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13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13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13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13F1"/>
    <w:pPr>
      <w:spacing w:before="160"/>
      <w:jc w:val="center"/>
    </w:pPr>
    <w:rPr>
      <w:i/>
      <w:iCs/>
      <w:color w:val="404040" w:themeColor="text1" w:themeTint="BF"/>
    </w:rPr>
  </w:style>
  <w:style w:type="character" w:customStyle="1" w:styleId="CitationCar">
    <w:name w:val="Citation Car"/>
    <w:basedOn w:val="Policepardfaut"/>
    <w:link w:val="Citation"/>
    <w:uiPriority w:val="29"/>
    <w:rsid w:val="001B13F1"/>
    <w:rPr>
      <w:i/>
      <w:iCs/>
      <w:color w:val="404040" w:themeColor="text1" w:themeTint="BF"/>
    </w:rPr>
  </w:style>
  <w:style w:type="paragraph" w:styleId="Paragraphedeliste">
    <w:name w:val="List Paragraph"/>
    <w:basedOn w:val="Normal"/>
    <w:uiPriority w:val="34"/>
    <w:qFormat/>
    <w:rsid w:val="001B13F1"/>
    <w:pPr>
      <w:ind w:left="720"/>
      <w:contextualSpacing/>
    </w:pPr>
  </w:style>
  <w:style w:type="character" w:styleId="Accentuationintense">
    <w:name w:val="Intense Emphasis"/>
    <w:basedOn w:val="Policepardfaut"/>
    <w:uiPriority w:val="21"/>
    <w:qFormat/>
    <w:rsid w:val="001B13F1"/>
    <w:rPr>
      <w:i/>
      <w:iCs/>
      <w:color w:val="2F5496" w:themeColor="accent1" w:themeShade="BF"/>
    </w:rPr>
  </w:style>
  <w:style w:type="paragraph" w:styleId="Citationintense">
    <w:name w:val="Intense Quote"/>
    <w:basedOn w:val="Normal"/>
    <w:next w:val="Normal"/>
    <w:link w:val="CitationintenseCar"/>
    <w:uiPriority w:val="30"/>
    <w:qFormat/>
    <w:rsid w:val="001B1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13F1"/>
    <w:rPr>
      <w:i/>
      <w:iCs/>
      <w:color w:val="2F5496" w:themeColor="accent1" w:themeShade="BF"/>
    </w:rPr>
  </w:style>
  <w:style w:type="character" w:styleId="Rfrenceintense">
    <w:name w:val="Intense Reference"/>
    <w:basedOn w:val="Policepardfaut"/>
    <w:uiPriority w:val="32"/>
    <w:qFormat/>
    <w:rsid w:val="001B13F1"/>
    <w:rPr>
      <w:b/>
      <w:bCs/>
      <w:smallCaps/>
      <w:color w:val="2F5496" w:themeColor="accent1" w:themeShade="BF"/>
      <w:spacing w:val="5"/>
    </w:rPr>
  </w:style>
  <w:style w:type="paragraph" w:styleId="En-ttedetabledesmatires">
    <w:name w:val="TOC Heading"/>
    <w:basedOn w:val="Titre1"/>
    <w:next w:val="Normal"/>
    <w:uiPriority w:val="39"/>
    <w:unhideWhenUsed/>
    <w:qFormat/>
    <w:rsid w:val="00114D95"/>
    <w:pPr>
      <w:numPr>
        <w:numId w:val="0"/>
      </w:num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114D95"/>
    <w:pPr>
      <w:spacing w:after="100"/>
    </w:pPr>
  </w:style>
  <w:style w:type="paragraph" w:styleId="TM2">
    <w:name w:val="toc 2"/>
    <w:basedOn w:val="Normal"/>
    <w:next w:val="Normal"/>
    <w:autoRedefine/>
    <w:uiPriority w:val="39"/>
    <w:unhideWhenUsed/>
    <w:rsid w:val="00114D95"/>
    <w:pPr>
      <w:spacing w:after="100"/>
      <w:ind w:left="220"/>
    </w:pPr>
  </w:style>
  <w:style w:type="paragraph" w:styleId="TM3">
    <w:name w:val="toc 3"/>
    <w:basedOn w:val="Normal"/>
    <w:next w:val="Normal"/>
    <w:autoRedefine/>
    <w:uiPriority w:val="39"/>
    <w:unhideWhenUsed/>
    <w:rsid w:val="00114D95"/>
    <w:pPr>
      <w:spacing w:after="100"/>
      <w:ind w:left="440"/>
    </w:pPr>
  </w:style>
  <w:style w:type="character" w:styleId="Lienhypertexte">
    <w:name w:val="Hyperlink"/>
    <w:basedOn w:val="Policepardfaut"/>
    <w:uiPriority w:val="99"/>
    <w:unhideWhenUsed/>
    <w:rsid w:val="00114D95"/>
    <w:rPr>
      <w:color w:val="0563C1" w:themeColor="hyperlink"/>
      <w:u w:val="single"/>
    </w:rPr>
  </w:style>
  <w:style w:type="paragraph" w:styleId="En-tte">
    <w:name w:val="header"/>
    <w:basedOn w:val="Normal"/>
    <w:link w:val="En-tteCar"/>
    <w:uiPriority w:val="99"/>
    <w:unhideWhenUsed/>
    <w:rsid w:val="003137B7"/>
    <w:pPr>
      <w:tabs>
        <w:tab w:val="center" w:pos="4536"/>
        <w:tab w:val="right" w:pos="9072"/>
      </w:tabs>
      <w:spacing w:after="0" w:line="240" w:lineRule="auto"/>
    </w:pPr>
  </w:style>
  <w:style w:type="character" w:customStyle="1" w:styleId="En-tteCar">
    <w:name w:val="En-tête Car"/>
    <w:basedOn w:val="Policepardfaut"/>
    <w:link w:val="En-tte"/>
    <w:uiPriority w:val="99"/>
    <w:rsid w:val="003137B7"/>
  </w:style>
  <w:style w:type="paragraph" w:styleId="Pieddepage">
    <w:name w:val="footer"/>
    <w:basedOn w:val="Normal"/>
    <w:link w:val="PieddepageCar"/>
    <w:uiPriority w:val="99"/>
    <w:unhideWhenUsed/>
    <w:rsid w:val="00313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7B7"/>
  </w:style>
  <w:style w:type="paragraph" w:styleId="Notedebasdepage">
    <w:name w:val="footnote text"/>
    <w:basedOn w:val="Normal"/>
    <w:link w:val="NotedebasdepageCar"/>
    <w:uiPriority w:val="99"/>
    <w:semiHidden/>
    <w:unhideWhenUsed/>
    <w:rsid w:val="000872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7237"/>
    <w:rPr>
      <w:sz w:val="20"/>
      <w:szCs w:val="20"/>
    </w:rPr>
  </w:style>
  <w:style w:type="character" w:styleId="Appelnotedebasdep">
    <w:name w:val="footnote reference"/>
    <w:basedOn w:val="Policepardfaut"/>
    <w:uiPriority w:val="99"/>
    <w:semiHidden/>
    <w:unhideWhenUsed/>
    <w:rsid w:val="00087237"/>
    <w:rPr>
      <w:vertAlign w:val="superscript"/>
    </w:rPr>
  </w:style>
  <w:style w:type="character" w:styleId="Mentionnonrsolue">
    <w:name w:val="Unresolved Mention"/>
    <w:basedOn w:val="Policepardfaut"/>
    <w:uiPriority w:val="99"/>
    <w:semiHidden/>
    <w:unhideWhenUsed/>
    <w:rsid w:val="0008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ancialtransparency.org/wp-content/uploads/2026/05/EN-Financial-Secrets-of-the-Forests-26-May-2026.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9542-4059-4DCB-9919-E6FA273C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1913</Words>
  <Characters>10522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Mballa Mballa</dc:creator>
  <cp:keywords/>
  <dc:description/>
  <cp:lastModifiedBy>Jean Mballa Mballa</cp:lastModifiedBy>
  <cp:revision>2</cp:revision>
  <dcterms:created xsi:type="dcterms:W3CDTF">2026-06-08T11:35:00Z</dcterms:created>
  <dcterms:modified xsi:type="dcterms:W3CDTF">2026-06-08T11:35:00Z</dcterms:modified>
</cp:coreProperties>
</file>