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BF9CE" w14:textId="54E9E82B" w:rsidR="004B2DBA" w:rsidRDefault="00234EAF" w:rsidP="00234EAF">
      <w:pPr>
        <w:spacing w:line="276" w:lineRule="auto"/>
        <w:jc w:val="center"/>
        <w:rPr>
          <w:rFonts w:ascii="Times New Roman" w:hAnsi="Times New Roman" w:cs="Times New Roman"/>
          <w:b/>
          <w:bCs/>
          <w:sz w:val="44"/>
          <w:szCs w:val="40"/>
        </w:rPr>
      </w:pPr>
      <w:r>
        <w:rPr>
          <w:rFonts w:ascii="Times New Roman" w:hAnsi="Times New Roman" w:cs="Times New Roman"/>
          <w:b/>
          <w:bCs/>
          <w:noProof/>
          <w:sz w:val="44"/>
          <w:szCs w:val="40"/>
          <w:lang w:eastAsia="fr-FR"/>
        </w:rPr>
        <mc:AlternateContent>
          <mc:Choice Requires="wps">
            <w:drawing>
              <wp:anchor distT="0" distB="0" distL="114300" distR="114300" simplePos="0" relativeHeight="251659264" behindDoc="1" locked="0" layoutInCell="1" allowOverlap="1" wp14:anchorId="2C7CA239" wp14:editId="1FE77DFC">
                <wp:simplePos x="0" y="0"/>
                <wp:positionH relativeFrom="margin">
                  <wp:align>center</wp:align>
                </wp:positionH>
                <wp:positionV relativeFrom="paragraph">
                  <wp:posOffset>-442549</wp:posOffset>
                </wp:positionV>
                <wp:extent cx="5988205" cy="1683834"/>
                <wp:effectExtent l="0" t="0" r="12700" b="12065"/>
                <wp:wrapNone/>
                <wp:docPr id="1" name="Rectangle 1"/>
                <wp:cNvGraphicFramePr/>
                <a:graphic xmlns:a="http://schemas.openxmlformats.org/drawingml/2006/main">
                  <a:graphicData uri="http://schemas.microsoft.com/office/word/2010/wordprocessingShape">
                    <wps:wsp>
                      <wps:cNvSpPr/>
                      <wps:spPr>
                        <a:xfrm>
                          <a:off x="0" y="0"/>
                          <a:ext cx="5988205" cy="1683834"/>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4A189" id="Rectangle 1" o:spid="_x0000_s1026" style="position:absolute;margin-left:0;margin-top:-34.85pt;width:471.5pt;height:132.6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" fillcolor="#8eaadb [1940]" strokecolor="#1f3763 [1604]" strokeweight="1pt">
                <w10:wrap anchorx="margin"/>
              </v:rect>
            </w:pict>
          </mc:Fallback>
        </mc:AlternateContent>
      </w:r>
      <w:r w:rsidR="00AA2D6C" w:rsidRPr="00234EAF">
        <w:rPr>
          <w:rFonts w:ascii="Times New Roman" w:hAnsi="Times New Roman" w:cs="Times New Roman"/>
          <w:b/>
          <w:bCs/>
          <w:sz w:val="44"/>
          <w:szCs w:val="40"/>
        </w:rPr>
        <w:t>CONTRIBUTION DE L’ITIE DANS L’ECONOMIE CAMEROUNAISE</w:t>
      </w:r>
    </w:p>
    <w:p w14:paraId="4D1E5150" w14:textId="77777777" w:rsidR="00234EAF" w:rsidRPr="00234EAF" w:rsidRDefault="00234EAF" w:rsidP="00234EAF">
      <w:pPr>
        <w:spacing w:line="276" w:lineRule="auto"/>
        <w:jc w:val="center"/>
        <w:rPr>
          <w:rFonts w:ascii="Times New Roman" w:hAnsi="Times New Roman" w:cs="Times New Roman"/>
          <w:b/>
          <w:bCs/>
          <w:sz w:val="44"/>
          <w:szCs w:val="40"/>
        </w:rPr>
      </w:pPr>
    </w:p>
    <w:p w14:paraId="04FF4E63" w14:textId="516ED925" w:rsidR="00AA2D6C" w:rsidRPr="00560766" w:rsidRDefault="00AA2D6C" w:rsidP="002601DF">
      <w:pPr>
        <w:spacing w:line="276" w:lineRule="auto"/>
        <w:jc w:val="both"/>
        <w:rPr>
          <w:rFonts w:ascii="Times New Roman" w:hAnsi="Times New Roman" w:cs="Times New Roman"/>
          <w:b/>
          <w:bCs/>
          <w:sz w:val="32"/>
          <w:szCs w:val="32"/>
        </w:rPr>
      </w:pPr>
    </w:p>
    <w:p w14:paraId="5272D438" w14:textId="5A9D4E17" w:rsidR="00AA2D6C" w:rsidRPr="00560766" w:rsidRDefault="002601DF" w:rsidP="002601DF">
      <w:pPr>
        <w:pStyle w:val="Paragraphedeliste"/>
        <w:numPr>
          <w:ilvl w:val="0"/>
          <w:numId w:val="1"/>
        </w:numPr>
        <w:spacing w:line="276"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00AA2D6C" w:rsidRPr="00560766">
        <w:rPr>
          <w:rFonts w:ascii="Times New Roman" w:hAnsi="Times New Roman" w:cs="Times New Roman"/>
          <w:b/>
          <w:bCs/>
          <w:sz w:val="32"/>
          <w:szCs w:val="32"/>
        </w:rPr>
        <w:t>INTRODUCTION GENERALE</w:t>
      </w:r>
    </w:p>
    <w:p w14:paraId="6D596DA5" w14:textId="77777777" w:rsidR="00560766" w:rsidRPr="00560766" w:rsidRDefault="00560766" w:rsidP="002601DF">
      <w:pPr>
        <w:pStyle w:val="Paragraphedeliste"/>
        <w:spacing w:line="276" w:lineRule="auto"/>
        <w:jc w:val="both"/>
        <w:rPr>
          <w:rFonts w:ascii="Times New Roman" w:hAnsi="Times New Roman" w:cs="Times New Roman"/>
          <w:b/>
          <w:bCs/>
          <w:sz w:val="32"/>
          <w:szCs w:val="32"/>
        </w:rPr>
      </w:pPr>
    </w:p>
    <w:p w14:paraId="40BA162A" w14:textId="0BD7554A" w:rsidR="00560766" w:rsidRPr="00560766" w:rsidRDefault="002601DF" w:rsidP="002601DF">
      <w:pPr>
        <w:pStyle w:val="Paragraphedeliste"/>
        <w:numPr>
          <w:ilvl w:val="0"/>
          <w:numId w:val="1"/>
        </w:numPr>
        <w:spacing w:line="276"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00560766" w:rsidRPr="00560766">
        <w:rPr>
          <w:rFonts w:ascii="Times New Roman" w:hAnsi="Times New Roman" w:cs="Times New Roman"/>
          <w:b/>
          <w:bCs/>
          <w:sz w:val="32"/>
          <w:szCs w:val="32"/>
        </w:rPr>
        <w:t>L’INDUSTRIE EXTRACTIVE</w:t>
      </w:r>
    </w:p>
    <w:p w14:paraId="2A604DB2" w14:textId="77777777" w:rsidR="00560766" w:rsidRPr="002601DF" w:rsidRDefault="00560766" w:rsidP="002601DF">
      <w:pPr>
        <w:spacing w:line="276" w:lineRule="auto"/>
        <w:jc w:val="both"/>
        <w:rPr>
          <w:rFonts w:ascii="Times New Roman" w:hAnsi="Times New Roman" w:cs="Times New Roman"/>
          <w:b/>
          <w:bCs/>
          <w:sz w:val="32"/>
          <w:szCs w:val="32"/>
        </w:rPr>
      </w:pPr>
    </w:p>
    <w:p w14:paraId="5F3A1692" w14:textId="154E51E5" w:rsidR="00234EAF" w:rsidRPr="00234EAF" w:rsidRDefault="00560766" w:rsidP="00234EAF">
      <w:pPr>
        <w:pStyle w:val="Paragraphedeliste"/>
        <w:numPr>
          <w:ilvl w:val="0"/>
          <w:numId w:val="1"/>
        </w:numPr>
        <w:shd w:val="clear" w:color="auto" w:fill="FFFFFF"/>
        <w:spacing w:after="375" w:line="276" w:lineRule="auto"/>
        <w:jc w:val="both"/>
        <w:rPr>
          <w:rFonts w:ascii="Times New Roman" w:eastAsia="Times New Roman" w:hAnsi="Times New Roman" w:cs="Times New Roman"/>
          <w:b/>
          <w:bCs/>
          <w:color w:val="2C2F34"/>
          <w:sz w:val="32"/>
          <w:szCs w:val="32"/>
          <w:lang w:eastAsia="fr-FR"/>
        </w:rPr>
      </w:pPr>
      <w:r w:rsidRPr="00560766">
        <w:rPr>
          <w:rFonts w:ascii="Times New Roman" w:hAnsi="Times New Roman" w:cs="Times New Roman"/>
          <w:b/>
          <w:bCs/>
          <w:sz w:val="32"/>
          <w:szCs w:val="32"/>
        </w:rPr>
        <w:t>CONTRIBUTION DU SECTEUR EXTRACTIF DANS LE BUDGET EN 2023</w:t>
      </w:r>
    </w:p>
    <w:p w14:paraId="2959F6A3" w14:textId="77777777" w:rsidR="00560766" w:rsidRPr="00560766" w:rsidRDefault="00560766" w:rsidP="002601DF">
      <w:pPr>
        <w:pStyle w:val="Paragraphedeliste"/>
        <w:shd w:val="clear" w:color="auto" w:fill="FFFFFF"/>
        <w:spacing w:after="375" w:line="276" w:lineRule="auto"/>
        <w:jc w:val="both"/>
        <w:rPr>
          <w:rFonts w:ascii="Times New Roman" w:eastAsia="Times New Roman" w:hAnsi="Times New Roman" w:cs="Times New Roman"/>
          <w:b/>
          <w:bCs/>
          <w:color w:val="2C2F34"/>
          <w:sz w:val="32"/>
          <w:szCs w:val="32"/>
          <w:lang w:eastAsia="fr-FR"/>
        </w:rPr>
      </w:pPr>
    </w:p>
    <w:p w14:paraId="4960C317" w14:textId="786B16E0" w:rsidR="00AA2D6C" w:rsidRDefault="00560766" w:rsidP="00234EAF">
      <w:pPr>
        <w:pStyle w:val="Paragraphedeliste"/>
        <w:numPr>
          <w:ilvl w:val="0"/>
          <w:numId w:val="1"/>
        </w:numPr>
        <w:spacing w:line="276" w:lineRule="auto"/>
        <w:jc w:val="both"/>
        <w:rPr>
          <w:rFonts w:ascii="Times New Roman" w:hAnsi="Times New Roman" w:cs="Times New Roman"/>
          <w:b/>
          <w:bCs/>
          <w:sz w:val="32"/>
          <w:szCs w:val="32"/>
        </w:rPr>
      </w:pPr>
      <w:r w:rsidRPr="00560766">
        <w:rPr>
          <w:rFonts w:ascii="Times New Roman" w:hAnsi="Times New Roman" w:cs="Times New Roman"/>
          <w:b/>
          <w:bCs/>
          <w:sz w:val="32"/>
          <w:szCs w:val="32"/>
        </w:rPr>
        <w:t>GRANDS PROJETS MINIERS ET LEUR IMPACT SUR L’ECONOMIE NATIONALE</w:t>
      </w:r>
    </w:p>
    <w:p w14:paraId="3F598DEE" w14:textId="77777777" w:rsidR="00234EAF" w:rsidRPr="00234EAF" w:rsidRDefault="00234EAF" w:rsidP="00234EAF">
      <w:pPr>
        <w:spacing w:line="276" w:lineRule="auto"/>
        <w:jc w:val="both"/>
        <w:rPr>
          <w:rFonts w:ascii="Times New Roman" w:hAnsi="Times New Roman" w:cs="Times New Roman"/>
          <w:b/>
          <w:bCs/>
          <w:sz w:val="32"/>
          <w:szCs w:val="32"/>
        </w:rPr>
      </w:pPr>
    </w:p>
    <w:p w14:paraId="6C23A46E" w14:textId="316AF7D9" w:rsidR="00AA2D6C" w:rsidRPr="00560766" w:rsidRDefault="00AA2D6C" w:rsidP="002601DF">
      <w:pPr>
        <w:pStyle w:val="Paragraphedeliste"/>
        <w:numPr>
          <w:ilvl w:val="0"/>
          <w:numId w:val="1"/>
        </w:numPr>
        <w:spacing w:line="276" w:lineRule="auto"/>
        <w:jc w:val="both"/>
        <w:rPr>
          <w:rFonts w:ascii="Times New Roman" w:hAnsi="Times New Roman" w:cs="Times New Roman"/>
          <w:b/>
          <w:bCs/>
          <w:sz w:val="32"/>
          <w:szCs w:val="32"/>
        </w:rPr>
      </w:pPr>
      <w:r w:rsidRPr="00560766">
        <w:rPr>
          <w:rFonts w:ascii="Times New Roman" w:hAnsi="Times New Roman" w:cs="Times New Roman"/>
          <w:b/>
          <w:bCs/>
          <w:sz w:val="32"/>
          <w:szCs w:val="32"/>
        </w:rPr>
        <w:t>PERSPECTIVES</w:t>
      </w:r>
    </w:p>
    <w:p w14:paraId="6FB306F0" w14:textId="4D47834C" w:rsidR="00AA2D6C" w:rsidRPr="00560766" w:rsidRDefault="00AA2D6C" w:rsidP="002601DF">
      <w:pPr>
        <w:spacing w:line="276" w:lineRule="auto"/>
        <w:jc w:val="both"/>
        <w:rPr>
          <w:rFonts w:ascii="Times New Roman" w:hAnsi="Times New Roman" w:cs="Times New Roman"/>
          <w:b/>
          <w:bCs/>
          <w:sz w:val="32"/>
          <w:szCs w:val="32"/>
        </w:rPr>
      </w:pPr>
    </w:p>
    <w:p w14:paraId="4B84E7A1" w14:textId="44B6F058" w:rsidR="00AA2D6C" w:rsidRPr="00560766" w:rsidRDefault="00AA2D6C" w:rsidP="002601DF">
      <w:pPr>
        <w:spacing w:line="276" w:lineRule="auto"/>
        <w:jc w:val="both"/>
        <w:rPr>
          <w:rFonts w:ascii="Times New Roman" w:hAnsi="Times New Roman" w:cs="Times New Roman"/>
          <w:b/>
          <w:bCs/>
          <w:sz w:val="32"/>
          <w:szCs w:val="32"/>
        </w:rPr>
      </w:pPr>
    </w:p>
    <w:p w14:paraId="392F262D" w14:textId="60D86DC1" w:rsidR="00AA2D6C" w:rsidRPr="00EA7DD6" w:rsidRDefault="00AA2D6C" w:rsidP="002601DF">
      <w:pPr>
        <w:spacing w:line="276" w:lineRule="auto"/>
        <w:jc w:val="both"/>
        <w:rPr>
          <w:rFonts w:ascii="Times New Roman" w:hAnsi="Times New Roman" w:cs="Times New Roman"/>
          <w:b/>
          <w:bCs/>
          <w:sz w:val="24"/>
          <w:szCs w:val="24"/>
        </w:rPr>
      </w:pPr>
    </w:p>
    <w:p w14:paraId="69F7640C" w14:textId="52C5FF84" w:rsidR="00AA2D6C" w:rsidRPr="00EA7DD6" w:rsidRDefault="00AA2D6C" w:rsidP="002601DF">
      <w:pPr>
        <w:spacing w:line="276" w:lineRule="auto"/>
        <w:jc w:val="both"/>
        <w:rPr>
          <w:rFonts w:ascii="Times New Roman" w:hAnsi="Times New Roman" w:cs="Times New Roman"/>
          <w:b/>
          <w:bCs/>
          <w:sz w:val="24"/>
          <w:szCs w:val="24"/>
        </w:rPr>
      </w:pPr>
    </w:p>
    <w:p w14:paraId="10E85F05" w14:textId="3D920428" w:rsidR="00AA2D6C" w:rsidRPr="00EA7DD6" w:rsidRDefault="00AA2D6C" w:rsidP="002601DF">
      <w:pPr>
        <w:spacing w:line="276" w:lineRule="auto"/>
        <w:jc w:val="both"/>
        <w:rPr>
          <w:rFonts w:ascii="Times New Roman" w:hAnsi="Times New Roman" w:cs="Times New Roman"/>
          <w:b/>
          <w:bCs/>
          <w:sz w:val="24"/>
          <w:szCs w:val="24"/>
        </w:rPr>
      </w:pPr>
    </w:p>
    <w:p w14:paraId="25B634FF" w14:textId="5A1BD288" w:rsidR="00AA2D6C" w:rsidRPr="00EA7DD6" w:rsidRDefault="00AA2D6C" w:rsidP="002601DF">
      <w:pPr>
        <w:spacing w:line="276" w:lineRule="auto"/>
        <w:jc w:val="both"/>
        <w:rPr>
          <w:rFonts w:ascii="Times New Roman" w:hAnsi="Times New Roman" w:cs="Times New Roman"/>
          <w:b/>
          <w:bCs/>
          <w:sz w:val="24"/>
          <w:szCs w:val="24"/>
        </w:rPr>
      </w:pPr>
    </w:p>
    <w:p w14:paraId="0C18CE86" w14:textId="2EB78EF2" w:rsidR="00AA2D6C" w:rsidRPr="00EA7DD6" w:rsidRDefault="00AA2D6C" w:rsidP="002601DF">
      <w:pPr>
        <w:spacing w:line="276" w:lineRule="auto"/>
        <w:jc w:val="both"/>
        <w:rPr>
          <w:rFonts w:ascii="Times New Roman" w:hAnsi="Times New Roman" w:cs="Times New Roman"/>
          <w:b/>
          <w:bCs/>
          <w:sz w:val="24"/>
          <w:szCs w:val="24"/>
        </w:rPr>
      </w:pPr>
    </w:p>
    <w:p w14:paraId="1CACC8C8" w14:textId="77777777" w:rsidR="00CD47AF" w:rsidRDefault="00CD47AF" w:rsidP="002601DF">
      <w:pPr>
        <w:spacing w:line="276" w:lineRule="auto"/>
        <w:jc w:val="both"/>
        <w:outlineLvl w:val="0"/>
        <w:rPr>
          <w:rFonts w:ascii="Times New Roman" w:hAnsi="Times New Roman" w:cs="Times New Roman"/>
          <w:b/>
          <w:bCs/>
          <w:sz w:val="24"/>
          <w:szCs w:val="24"/>
        </w:rPr>
      </w:pPr>
    </w:p>
    <w:p w14:paraId="4E6D3B73" w14:textId="77777777" w:rsidR="002601DF" w:rsidRDefault="002601DF" w:rsidP="002601DF">
      <w:pPr>
        <w:spacing w:line="276" w:lineRule="auto"/>
        <w:jc w:val="both"/>
        <w:outlineLvl w:val="0"/>
        <w:rPr>
          <w:rFonts w:ascii="Times New Roman" w:hAnsi="Times New Roman" w:cs="Times New Roman"/>
          <w:b/>
          <w:bCs/>
          <w:sz w:val="24"/>
          <w:szCs w:val="24"/>
        </w:rPr>
      </w:pPr>
    </w:p>
    <w:p w14:paraId="28D31AF6" w14:textId="77777777" w:rsidR="002601DF" w:rsidRDefault="002601DF" w:rsidP="002601DF">
      <w:pPr>
        <w:spacing w:line="276" w:lineRule="auto"/>
        <w:jc w:val="both"/>
        <w:outlineLvl w:val="0"/>
        <w:rPr>
          <w:rFonts w:ascii="Times New Roman" w:hAnsi="Times New Roman" w:cs="Times New Roman"/>
          <w:b/>
          <w:bCs/>
          <w:sz w:val="24"/>
          <w:szCs w:val="24"/>
        </w:rPr>
      </w:pPr>
    </w:p>
    <w:p w14:paraId="289C2652" w14:textId="77777777" w:rsidR="002601DF" w:rsidRDefault="002601DF" w:rsidP="002601DF">
      <w:pPr>
        <w:spacing w:line="276" w:lineRule="auto"/>
        <w:jc w:val="both"/>
        <w:outlineLvl w:val="0"/>
        <w:rPr>
          <w:rFonts w:ascii="Times New Roman" w:hAnsi="Times New Roman" w:cs="Times New Roman"/>
          <w:b/>
          <w:bCs/>
          <w:sz w:val="24"/>
          <w:szCs w:val="24"/>
        </w:rPr>
      </w:pPr>
    </w:p>
    <w:p w14:paraId="15D19C0F" w14:textId="77777777" w:rsidR="002601DF" w:rsidRDefault="002601DF" w:rsidP="002601DF">
      <w:pPr>
        <w:spacing w:line="276" w:lineRule="auto"/>
        <w:jc w:val="both"/>
        <w:outlineLvl w:val="0"/>
        <w:rPr>
          <w:rFonts w:ascii="Times New Roman" w:hAnsi="Times New Roman" w:cs="Times New Roman"/>
          <w:b/>
          <w:bCs/>
          <w:sz w:val="24"/>
          <w:szCs w:val="24"/>
        </w:rPr>
      </w:pPr>
    </w:p>
    <w:p w14:paraId="06BA274E" w14:textId="56C3FB38" w:rsidR="00AA2D6C" w:rsidRPr="00234EAF" w:rsidRDefault="00AA2D6C" w:rsidP="00234EAF">
      <w:pPr>
        <w:pStyle w:val="Paragraphedeliste"/>
        <w:numPr>
          <w:ilvl w:val="0"/>
          <w:numId w:val="12"/>
        </w:numPr>
        <w:spacing w:line="276" w:lineRule="auto"/>
        <w:ind w:left="0" w:firstLine="0"/>
        <w:jc w:val="center"/>
        <w:outlineLvl w:val="0"/>
        <w:rPr>
          <w:rFonts w:ascii="Times New Roman" w:hAnsi="Times New Roman" w:cs="Times New Roman"/>
          <w:b/>
          <w:bCs/>
          <w:sz w:val="28"/>
          <w:szCs w:val="24"/>
        </w:rPr>
      </w:pPr>
      <w:r w:rsidRPr="00234EAF">
        <w:rPr>
          <w:rFonts w:ascii="Times New Roman" w:hAnsi="Times New Roman" w:cs="Times New Roman"/>
          <w:b/>
          <w:bCs/>
          <w:sz w:val="28"/>
          <w:szCs w:val="24"/>
        </w:rPr>
        <w:lastRenderedPageBreak/>
        <w:t>INTRODUCTION GENERALE</w:t>
      </w:r>
    </w:p>
    <w:p w14:paraId="17ED2FE2" w14:textId="68322515" w:rsidR="00AA2D6C" w:rsidRPr="002601DF" w:rsidRDefault="005F1420" w:rsidP="00234EA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L’Initiative pour la Transparence dans les </w:t>
      </w:r>
      <w:r w:rsidR="00AA2D6C" w:rsidRPr="00EA7DD6">
        <w:rPr>
          <w:rFonts w:ascii="Times New Roman" w:hAnsi="Times New Roman" w:cs="Times New Roman"/>
          <w:sz w:val="24"/>
          <w:szCs w:val="24"/>
        </w:rPr>
        <w:t>Industrie Extractive</w:t>
      </w:r>
      <w:r>
        <w:rPr>
          <w:rFonts w:ascii="Times New Roman" w:hAnsi="Times New Roman" w:cs="Times New Roman"/>
          <w:sz w:val="24"/>
          <w:szCs w:val="24"/>
        </w:rPr>
        <w:t xml:space="preserve"> (ITIE) est un mécanisme volontaire visant à renforcer dans les pays riches en ressources pétrolière, gazière et minière</w:t>
      </w:r>
      <w:r w:rsidR="002601DF">
        <w:rPr>
          <w:rFonts w:ascii="Times New Roman" w:hAnsi="Times New Roman" w:cs="Times New Roman"/>
          <w:sz w:val="24"/>
          <w:szCs w:val="24"/>
        </w:rPr>
        <w:t>,</w:t>
      </w:r>
      <w:r w:rsidR="00AA2D6C" w:rsidRPr="00EA7DD6">
        <w:rPr>
          <w:rFonts w:ascii="Times New Roman" w:hAnsi="Times New Roman" w:cs="Times New Roman"/>
          <w:sz w:val="24"/>
          <w:szCs w:val="24"/>
        </w:rPr>
        <w:t xml:space="preserve"> l’ensemble des activités économiques liées à la prospection, à l’extraction et à la valorisation primaire des matières premières présentes à l’état naturel dans le sol et le sous-sol</w:t>
      </w:r>
      <w:r>
        <w:rPr>
          <w:rFonts w:ascii="Times New Roman" w:hAnsi="Times New Roman" w:cs="Times New Roman"/>
          <w:sz w:val="24"/>
          <w:szCs w:val="24"/>
        </w:rPr>
        <w:t>, favoriser la bonne gouvernance des revenues publics issus de l’exploitation des ressources naturelles.</w:t>
      </w:r>
      <w:r w:rsidR="00AA2D6C" w:rsidRPr="00EA7DD6">
        <w:rPr>
          <w:rFonts w:ascii="Times New Roman" w:hAnsi="Times New Roman" w:cs="Times New Roman"/>
          <w:sz w:val="24"/>
          <w:szCs w:val="24"/>
        </w:rPr>
        <w:t xml:space="preserve"> Dans le souci de transparences et de bonne gestion de ses activités extractives, le Cameroun a intégré le programme ITIE</w:t>
      </w:r>
      <w:r w:rsidR="002601DF">
        <w:rPr>
          <w:rFonts w:ascii="Times New Roman" w:hAnsi="Times New Roman" w:cs="Times New Roman"/>
          <w:sz w:val="24"/>
          <w:szCs w:val="24"/>
        </w:rPr>
        <w:t xml:space="preserve"> depuis 2001</w:t>
      </w:r>
      <w:r w:rsidR="00AA2D6C" w:rsidRPr="00EA7DD6">
        <w:rPr>
          <w:rFonts w:ascii="Times New Roman" w:hAnsi="Times New Roman" w:cs="Times New Roman"/>
          <w:sz w:val="24"/>
          <w:szCs w:val="24"/>
        </w:rPr>
        <w:t>.</w:t>
      </w:r>
      <w:r w:rsidR="00D85FA0">
        <w:rPr>
          <w:rFonts w:ascii="Times New Roman" w:hAnsi="Times New Roman" w:cs="Times New Roman"/>
          <w:sz w:val="24"/>
          <w:szCs w:val="24"/>
        </w:rPr>
        <w:t xml:space="preserve"> </w:t>
      </w:r>
      <w:r w:rsidR="00AA2D6C" w:rsidRPr="00EA7DD6">
        <w:rPr>
          <w:rFonts w:ascii="Times New Roman" w:hAnsi="Times New Roman" w:cs="Times New Roman"/>
          <w:sz w:val="24"/>
          <w:szCs w:val="24"/>
        </w:rPr>
        <w:t>Les exigences ITIE obligent les différents pays ayant adhérés à ce modèle de divulguer tous les revenus de l’Etat issus des industries extractives et les différents paiements significatifs versés au gouvernement par les entreprises opérantes dans les hydrocarbures, le gaz et les min</w:t>
      </w:r>
      <w:r w:rsidR="002601DF">
        <w:rPr>
          <w:rFonts w:ascii="Times New Roman" w:hAnsi="Times New Roman" w:cs="Times New Roman"/>
          <w:sz w:val="24"/>
          <w:szCs w:val="24"/>
        </w:rPr>
        <w:t>es.</w:t>
      </w:r>
    </w:p>
    <w:p w14:paraId="2A18F4D1" w14:textId="77777777" w:rsidR="008E5EF2" w:rsidRDefault="008E5EF2" w:rsidP="00234EAF">
      <w:pPr>
        <w:spacing w:line="360" w:lineRule="auto"/>
        <w:jc w:val="both"/>
        <w:rPr>
          <w:rFonts w:ascii="Times New Roman" w:hAnsi="Times New Roman" w:cs="Times New Roman"/>
          <w:sz w:val="24"/>
          <w:szCs w:val="24"/>
        </w:rPr>
      </w:pPr>
    </w:p>
    <w:p w14:paraId="77636965" w14:textId="77777777" w:rsidR="008E5EF2" w:rsidRDefault="008E5EF2" w:rsidP="002601DF">
      <w:pPr>
        <w:spacing w:line="276" w:lineRule="auto"/>
        <w:jc w:val="both"/>
        <w:rPr>
          <w:rFonts w:ascii="Times New Roman" w:hAnsi="Times New Roman" w:cs="Times New Roman"/>
          <w:sz w:val="24"/>
          <w:szCs w:val="24"/>
        </w:rPr>
      </w:pPr>
    </w:p>
    <w:p w14:paraId="1B1421C9" w14:textId="77777777" w:rsidR="008E5EF2" w:rsidRDefault="008E5EF2" w:rsidP="002601DF">
      <w:pPr>
        <w:spacing w:line="276" w:lineRule="auto"/>
        <w:jc w:val="both"/>
        <w:rPr>
          <w:rFonts w:ascii="Times New Roman" w:hAnsi="Times New Roman" w:cs="Times New Roman"/>
          <w:sz w:val="24"/>
          <w:szCs w:val="24"/>
        </w:rPr>
      </w:pPr>
    </w:p>
    <w:p w14:paraId="136F6807" w14:textId="77777777" w:rsidR="008E5EF2" w:rsidRDefault="008E5EF2" w:rsidP="002601DF">
      <w:pPr>
        <w:spacing w:line="276" w:lineRule="auto"/>
        <w:jc w:val="both"/>
        <w:rPr>
          <w:rFonts w:ascii="Times New Roman" w:hAnsi="Times New Roman" w:cs="Times New Roman"/>
          <w:sz w:val="24"/>
          <w:szCs w:val="24"/>
        </w:rPr>
      </w:pPr>
    </w:p>
    <w:p w14:paraId="13E3F875" w14:textId="77777777" w:rsidR="008E5EF2" w:rsidRDefault="008E5EF2" w:rsidP="002601DF">
      <w:pPr>
        <w:spacing w:line="276" w:lineRule="auto"/>
        <w:jc w:val="both"/>
        <w:rPr>
          <w:rFonts w:ascii="Times New Roman" w:hAnsi="Times New Roman" w:cs="Times New Roman"/>
          <w:sz w:val="24"/>
          <w:szCs w:val="24"/>
        </w:rPr>
      </w:pPr>
    </w:p>
    <w:p w14:paraId="66C34D51" w14:textId="77777777" w:rsidR="008E5EF2" w:rsidRDefault="008E5EF2" w:rsidP="002601DF">
      <w:pPr>
        <w:spacing w:line="276" w:lineRule="auto"/>
        <w:jc w:val="both"/>
        <w:rPr>
          <w:rFonts w:ascii="Times New Roman" w:hAnsi="Times New Roman" w:cs="Times New Roman"/>
          <w:sz w:val="24"/>
          <w:szCs w:val="24"/>
        </w:rPr>
      </w:pPr>
    </w:p>
    <w:p w14:paraId="0013A4E4" w14:textId="77777777" w:rsidR="008E5EF2" w:rsidRDefault="008E5EF2" w:rsidP="002601DF">
      <w:pPr>
        <w:spacing w:line="276" w:lineRule="auto"/>
        <w:jc w:val="both"/>
        <w:rPr>
          <w:rFonts w:ascii="Times New Roman" w:hAnsi="Times New Roman" w:cs="Times New Roman"/>
          <w:sz w:val="24"/>
          <w:szCs w:val="24"/>
        </w:rPr>
      </w:pPr>
    </w:p>
    <w:p w14:paraId="592607F1" w14:textId="77777777" w:rsidR="008E5EF2" w:rsidRDefault="008E5EF2" w:rsidP="002601DF">
      <w:pPr>
        <w:spacing w:line="276" w:lineRule="auto"/>
        <w:jc w:val="both"/>
        <w:rPr>
          <w:rFonts w:ascii="Times New Roman" w:hAnsi="Times New Roman" w:cs="Times New Roman"/>
          <w:sz w:val="24"/>
          <w:szCs w:val="24"/>
        </w:rPr>
      </w:pPr>
    </w:p>
    <w:p w14:paraId="0EBB9BBE" w14:textId="77777777" w:rsidR="008E5EF2" w:rsidRDefault="008E5EF2" w:rsidP="002601DF">
      <w:pPr>
        <w:spacing w:line="276" w:lineRule="auto"/>
        <w:jc w:val="both"/>
        <w:rPr>
          <w:rFonts w:ascii="Times New Roman" w:hAnsi="Times New Roman" w:cs="Times New Roman"/>
          <w:sz w:val="24"/>
          <w:szCs w:val="24"/>
        </w:rPr>
      </w:pPr>
    </w:p>
    <w:p w14:paraId="0077010A" w14:textId="77777777" w:rsidR="00D85FA0" w:rsidRDefault="00D85FA0" w:rsidP="002601DF">
      <w:pPr>
        <w:spacing w:line="276" w:lineRule="auto"/>
        <w:jc w:val="both"/>
        <w:rPr>
          <w:rFonts w:ascii="Times New Roman" w:hAnsi="Times New Roman" w:cs="Times New Roman"/>
          <w:sz w:val="24"/>
          <w:szCs w:val="24"/>
        </w:rPr>
      </w:pPr>
    </w:p>
    <w:p w14:paraId="4C6A19E8" w14:textId="77777777" w:rsidR="008E5EF2" w:rsidRDefault="008E5EF2" w:rsidP="002601DF">
      <w:pPr>
        <w:spacing w:line="276" w:lineRule="auto"/>
        <w:jc w:val="both"/>
        <w:rPr>
          <w:rFonts w:ascii="Times New Roman" w:hAnsi="Times New Roman" w:cs="Times New Roman"/>
          <w:sz w:val="24"/>
          <w:szCs w:val="24"/>
        </w:rPr>
      </w:pPr>
    </w:p>
    <w:p w14:paraId="44D0BFB5" w14:textId="77777777" w:rsidR="002601DF" w:rsidRDefault="002601DF" w:rsidP="002601DF">
      <w:pPr>
        <w:spacing w:line="276" w:lineRule="auto"/>
        <w:jc w:val="both"/>
        <w:rPr>
          <w:rFonts w:ascii="Times New Roman" w:hAnsi="Times New Roman" w:cs="Times New Roman"/>
          <w:sz w:val="24"/>
          <w:szCs w:val="24"/>
        </w:rPr>
      </w:pPr>
    </w:p>
    <w:p w14:paraId="0CB34E77" w14:textId="77777777" w:rsidR="002601DF" w:rsidRDefault="002601DF" w:rsidP="002601DF">
      <w:pPr>
        <w:spacing w:line="276" w:lineRule="auto"/>
        <w:jc w:val="both"/>
        <w:rPr>
          <w:rFonts w:ascii="Times New Roman" w:hAnsi="Times New Roman" w:cs="Times New Roman"/>
          <w:sz w:val="24"/>
          <w:szCs w:val="24"/>
        </w:rPr>
      </w:pPr>
    </w:p>
    <w:p w14:paraId="08719B91" w14:textId="77777777" w:rsidR="002601DF" w:rsidRDefault="002601DF" w:rsidP="002601DF">
      <w:pPr>
        <w:spacing w:line="276" w:lineRule="auto"/>
        <w:jc w:val="both"/>
        <w:rPr>
          <w:rFonts w:ascii="Times New Roman" w:hAnsi="Times New Roman" w:cs="Times New Roman"/>
          <w:sz w:val="24"/>
          <w:szCs w:val="24"/>
        </w:rPr>
      </w:pPr>
    </w:p>
    <w:p w14:paraId="3AFCF6A6" w14:textId="77777777" w:rsidR="002601DF" w:rsidRDefault="002601DF" w:rsidP="002601DF">
      <w:pPr>
        <w:spacing w:line="276" w:lineRule="auto"/>
        <w:jc w:val="both"/>
        <w:rPr>
          <w:rFonts w:ascii="Times New Roman" w:hAnsi="Times New Roman" w:cs="Times New Roman"/>
          <w:sz w:val="24"/>
          <w:szCs w:val="24"/>
        </w:rPr>
      </w:pPr>
    </w:p>
    <w:p w14:paraId="7B31FC5B" w14:textId="77777777" w:rsidR="00355BF7" w:rsidRDefault="00355BF7" w:rsidP="002601DF">
      <w:pPr>
        <w:spacing w:line="276" w:lineRule="auto"/>
        <w:jc w:val="both"/>
        <w:rPr>
          <w:rFonts w:ascii="Times New Roman" w:hAnsi="Times New Roman" w:cs="Times New Roman"/>
          <w:sz w:val="24"/>
          <w:szCs w:val="24"/>
        </w:rPr>
      </w:pPr>
    </w:p>
    <w:p w14:paraId="0CB41581" w14:textId="77777777" w:rsidR="00355BF7" w:rsidRDefault="00355BF7" w:rsidP="002601DF">
      <w:pPr>
        <w:spacing w:line="276" w:lineRule="auto"/>
        <w:jc w:val="both"/>
        <w:rPr>
          <w:rFonts w:ascii="Times New Roman" w:hAnsi="Times New Roman" w:cs="Times New Roman"/>
          <w:sz w:val="24"/>
          <w:szCs w:val="24"/>
        </w:rPr>
      </w:pPr>
    </w:p>
    <w:p w14:paraId="4C9BF9C1" w14:textId="77777777" w:rsidR="00355BF7" w:rsidRDefault="00355BF7" w:rsidP="002601DF">
      <w:pPr>
        <w:spacing w:line="276" w:lineRule="auto"/>
        <w:jc w:val="both"/>
        <w:rPr>
          <w:rFonts w:ascii="Times New Roman" w:hAnsi="Times New Roman" w:cs="Times New Roman"/>
          <w:sz w:val="24"/>
          <w:szCs w:val="24"/>
        </w:rPr>
      </w:pPr>
    </w:p>
    <w:p w14:paraId="6A429945" w14:textId="77777777" w:rsidR="008E5EF2" w:rsidRPr="008E5EF2" w:rsidRDefault="008E5EF2" w:rsidP="002601DF">
      <w:pPr>
        <w:spacing w:line="276" w:lineRule="auto"/>
        <w:jc w:val="both"/>
        <w:rPr>
          <w:rFonts w:ascii="Times New Roman" w:hAnsi="Times New Roman" w:cs="Times New Roman"/>
          <w:sz w:val="24"/>
          <w:szCs w:val="24"/>
        </w:rPr>
      </w:pPr>
    </w:p>
    <w:p w14:paraId="731B972F" w14:textId="044A9C9C" w:rsidR="00E02109" w:rsidRPr="00234EAF" w:rsidRDefault="00E02109" w:rsidP="00234EAF">
      <w:pPr>
        <w:pStyle w:val="Paragraphedeliste"/>
        <w:numPr>
          <w:ilvl w:val="0"/>
          <w:numId w:val="12"/>
        </w:numPr>
        <w:spacing w:line="276" w:lineRule="auto"/>
        <w:ind w:left="0" w:firstLine="0"/>
        <w:jc w:val="center"/>
        <w:rPr>
          <w:rFonts w:ascii="Times New Roman" w:hAnsi="Times New Roman" w:cs="Times New Roman"/>
          <w:b/>
          <w:bCs/>
          <w:sz w:val="28"/>
          <w:szCs w:val="24"/>
        </w:rPr>
      </w:pPr>
      <w:r w:rsidRPr="00234EAF">
        <w:rPr>
          <w:rFonts w:ascii="Times New Roman" w:hAnsi="Times New Roman" w:cs="Times New Roman"/>
          <w:b/>
          <w:bCs/>
          <w:sz w:val="28"/>
          <w:szCs w:val="24"/>
        </w:rPr>
        <w:lastRenderedPageBreak/>
        <w:t>L’INDUSTRIE EXTRACTIVE</w:t>
      </w:r>
    </w:p>
    <w:p w14:paraId="3EF3A24B" w14:textId="44857C24" w:rsidR="00E02109" w:rsidRPr="00EA7DD6" w:rsidRDefault="00E02109" w:rsidP="00234EAF">
      <w:pPr>
        <w:pStyle w:val="NormalWeb"/>
        <w:shd w:val="clear" w:color="auto" w:fill="FFFFFF"/>
        <w:spacing w:before="0" w:beforeAutospacing="0" w:after="375" w:afterAutospacing="0" w:line="360" w:lineRule="auto"/>
        <w:ind w:firstLine="851"/>
        <w:jc w:val="both"/>
        <w:rPr>
          <w:color w:val="2C2F34"/>
        </w:rPr>
      </w:pPr>
      <w:r w:rsidRPr="00EA7DD6">
        <w:rPr>
          <w:color w:val="2C2F34"/>
        </w:rPr>
        <w:t xml:space="preserve">L’industrie extractive est un secteur économique clé qui englobe un large éventail d’activités visant à extraire et à exploiter les ressources naturelles. </w:t>
      </w:r>
      <w:r w:rsidR="008E5EF2">
        <w:rPr>
          <w:color w:val="2C2F34"/>
        </w:rPr>
        <w:t xml:space="preserve">Les activités extractives sont reparties en différents sous-secteur notamment : les sous- secteurs des hydrocarbures (pétrolier et gazier), transport pétrolier et minier. L’industrie pétrolière est organisée en deux entités à savoir </w:t>
      </w:r>
      <w:r w:rsidR="008E5EF2" w:rsidRPr="008E5EF2">
        <w:rPr>
          <w:b/>
          <w:bCs/>
          <w:color w:val="2C2F34"/>
        </w:rPr>
        <w:t>le secteur amont</w:t>
      </w:r>
      <w:r w:rsidR="008E5EF2" w:rsidRPr="008E5EF2">
        <w:rPr>
          <w:color w:val="2C2F34"/>
        </w:rPr>
        <w:t xml:space="preserve"> (</w:t>
      </w:r>
      <w:r w:rsidR="008E5EF2">
        <w:rPr>
          <w:color w:val="2C2F34"/>
        </w:rPr>
        <w:t>prospection, exploration, exploitation, transport et stockage des hydrocarbures</w:t>
      </w:r>
      <w:r w:rsidR="008E5EF2" w:rsidRPr="008E5EF2">
        <w:rPr>
          <w:color w:val="2C2F34"/>
        </w:rPr>
        <w:t>)</w:t>
      </w:r>
      <w:r w:rsidR="008E5EF2">
        <w:rPr>
          <w:color w:val="2C2F34"/>
        </w:rPr>
        <w:t xml:space="preserve"> et </w:t>
      </w:r>
      <w:r w:rsidR="008E5EF2" w:rsidRPr="008E5EF2">
        <w:rPr>
          <w:b/>
          <w:bCs/>
          <w:color w:val="2C2F34"/>
        </w:rPr>
        <w:t>le secteur aval</w:t>
      </w:r>
      <w:r w:rsidR="008E5EF2" w:rsidRPr="008E5EF2">
        <w:rPr>
          <w:color w:val="2C2F34"/>
        </w:rPr>
        <w:t xml:space="preserve"> (</w:t>
      </w:r>
      <w:r w:rsidR="008E5EF2">
        <w:rPr>
          <w:color w:val="2C2F34"/>
        </w:rPr>
        <w:t>raffinage, distribution des produits pétrolier et commercialisation du gaz naturel</w:t>
      </w:r>
      <w:r w:rsidR="008E5EF2" w:rsidRPr="008E5EF2">
        <w:rPr>
          <w:color w:val="2C2F34"/>
        </w:rPr>
        <w:t>)</w:t>
      </w:r>
      <w:r w:rsidR="008E5EF2">
        <w:rPr>
          <w:color w:val="2C2F34"/>
        </w:rPr>
        <w:t xml:space="preserve">, le présent exposé se limitera au secteur amont. La SNH (Société Nationale des Hydrocarbures) est le bras séculier de l’Etat dans le Sous-secteur des hydrocarbures. Elle coordonne la gestion des ressources pétrolières et gazières, depuis la promotion des gisements et la supervision de l’exploration jusqu’à la commercialisation des hydrocarbures sur les marchés internationaux. Quant au sous-secteur minier au Cameroun a connu une </w:t>
      </w:r>
      <w:proofErr w:type="spellStart"/>
      <w:r w:rsidR="008E5EF2">
        <w:rPr>
          <w:color w:val="2C2F34"/>
        </w:rPr>
        <w:t>reforme</w:t>
      </w:r>
      <w:proofErr w:type="spellEnd"/>
      <w:r w:rsidR="008E5EF2">
        <w:rPr>
          <w:color w:val="2C2F34"/>
        </w:rPr>
        <w:t xml:space="preserve"> majeure avec la Loi no 2023/014 portant Code Minier et ses différents textes d’application (2024-2025). Ce texte a participé à moderniser la gestion du secteur et à renforcer la transparence dans l’octroi et le suivi des titres minier. Également avec l’entrée de la SONAMINES (Société Nationale des Mines) comme opérateur public de référence.</w:t>
      </w:r>
      <w:r w:rsidR="0006289F">
        <w:rPr>
          <w:color w:val="2C2F34"/>
        </w:rPr>
        <w:t xml:space="preserve"> Elle gère les intérêts nationaux, soutient la production artisanale, garantit la traçabilité des ressources et veille à la réhabilitation des sites miniers. </w:t>
      </w:r>
    </w:p>
    <w:p w14:paraId="153CCD0B" w14:textId="5660BBA0" w:rsidR="00E02109" w:rsidRPr="00EA7DD6" w:rsidRDefault="00E02109" w:rsidP="00234EAF">
      <w:pPr>
        <w:shd w:val="clear" w:color="auto" w:fill="FFFFFF"/>
        <w:spacing w:after="0" w:line="360" w:lineRule="auto"/>
        <w:ind w:firstLine="851"/>
        <w:jc w:val="both"/>
        <w:rPr>
          <w:rFonts w:ascii="Times New Roman" w:eastAsia="Times New Roman" w:hAnsi="Times New Roman" w:cs="Times New Roman"/>
          <w:color w:val="2C2F34"/>
          <w:sz w:val="24"/>
          <w:szCs w:val="24"/>
          <w:lang w:eastAsia="fr-FR"/>
        </w:rPr>
      </w:pPr>
      <w:r w:rsidRPr="001E55E2">
        <w:rPr>
          <w:rFonts w:ascii="Times New Roman" w:eastAsia="Times New Roman" w:hAnsi="Times New Roman" w:cs="Times New Roman"/>
          <w:color w:val="2C2F34"/>
          <w:sz w:val="24"/>
          <w:szCs w:val="24"/>
          <w:lang w:eastAsia="fr-FR"/>
        </w:rPr>
        <w:t>L’industrie extractive peut être une source importante de revenus et d’emplois, en particulier dans les régions riches en ressources naturelles. Cependant, elle est souvent confrontée à des défis tels que la gestion durable des ressources, la réduction des impacts environnementaux, la protection des droits des travailleurs et des communautés locales, et la lutte contre la corruption et la mauvaise gouvernance.</w:t>
      </w:r>
    </w:p>
    <w:p w14:paraId="3D125E09" w14:textId="689E3ECC" w:rsidR="00E02109" w:rsidRDefault="00E02109" w:rsidP="00234EAF">
      <w:pPr>
        <w:shd w:val="clear" w:color="auto" w:fill="FFFFFF"/>
        <w:spacing w:after="375" w:line="360" w:lineRule="auto"/>
        <w:ind w:firstLine="708"/>
        <w:jc w:val="both"/>
        <w:rPr>
          <w:rFonts w:ascii="Times New Roman" w:eastAsia="Times New Roman" w:hAnsi="Times New Roman" w:cs="Times New Roman"/>
          <w:color w:val="2C2F34"/>
          <w:sz w:val="24"/>
          <w:szCs w:val="24"/>
          <w:lang w:eastAsia="fr-FR"/>
        </w:rPr>
      </w:pPr>
      <w:r w:rsidRPr="001E55E2">
        <w:rPr>
          <w:rFonts w:ascii="Times New Roman" w:eastAsia="Times New Roman" w:hAnsi="Times New Roman" w:cs="Times New Roman"/>
          <w:color w:val="2C2F34"/>
          <w:sz w:val="24"/>
          <w:szCs w:val="24"/>
          <w:lang w:eastAsia="fr-FR"/>
        </w:rPr>
        <w:t>Pour relever ces défis, de nombreuses entreprises extractives mettent en œuvre des pratiques de développement durable, telles que l’adoption de normes environnementales et sociales strictes, la consultation des parties prenantes et l’investissement dans des projets de développement communautair</w:t>
      </w:r>
      <w:r w:rsidR="00D85FA0">
        <w:rPr>
          <w:rFonts w:ascii="Times New Roman" w:eastAsia="Times New Roman" w:hAnsi="Times New Roman" w:cs="Times New Roman"/>
          <w:color w:val="2C2F34"/>
          <w:sz w:val="24"/>
          <w:szCs w:val="24"/>
          <w:lang w:eastAsia="fr-FR"/>
        </w:rPr>
        <w:t>e.</w:t>
      </w:r>
    </w:p>
    <w:p w14:paraId="2BDFA3C3" w14:textId="77777777" w:rsidR="00D85FA0" w:rsidRDefault="00D85FA0" w:rsidP="00234EAF">
      <w:pPr>
        <w:shd w:val="clear" w:color="auto" w:fill="FFFFFF"/>
        <w:spacing w:after="375" w:line="360" w:lineRule="auto"/>
        <w:ind w:firstLine="708"/>
        <w:jc w:val="both"/>
        <w:rPr>
          <w:rFonts w:ascii="Times New Roman" w:eastAsia="Times New Roman" w:hAnsi="Times New Roman" w:cs="Times New Roman"/>
          <w:color w:val="2C2F34"/>
          <w:sz w:val="24"/>
          <w:szCs w:val="24"/>
          <w:lang w:eastAsia="fr-FR"/>
        </w:rPr>
      </w:pPr>
    </w:p>
    <w:p w14:paraId="51F31B99" w14:textId="77777777" w:rsidR="00355BF7" w:rsidRDefault="00355BF7" w:rsidP="002601DF">
      <w:pPr>
        <w:shd w:val="clear" w:color="auto" w:fill="FFFFFF"/>
        <w:spacing w:after="375" w:line="276" w:lineRule="auto"/>
        <w:jc w:val="both"/>
        <w:rPr>
          <w:rFonts w:ascii="Times New Roman" w:eastAsia="Times New Roman" w:hAnsi="Times New Roman" w:cs="Times New Roman"/>
          <w:color w:val="2C2F34"/>
          <w:sz w:val="24"/>
          <w:szCs w:val="24"/>
          <w:lang w:eastAsia="fr-FR"/>
        </w:rPr>
      </w:pPr>
    </w:p>
    <w:p w14:paraId="17A3AE69" w14:textId="7B33AF7A" w:rsidR="00E02109" w:rsidRPr="00234EAF" w:rsidRDefault="00E02109" w:rsidP="00234EAF">
      <w:pPr>
        <w:pStyle w:val="Paragraphedeliste"/>
        <w:numPr>
          <w:ilvl w:val="0"/>
          <w:numId w:val="12"/>
        </w:numPr>
        <w:shd w:val="clear" w:color="auto" w:fill="FFFFFF"/>
        <w:spacing w:after="375" w:line="276" w:lineRule="auto"/>
        <w:ind w:left="0" w:firstLine="0"/>
        <w:jc w:val="center"/>
        <w:rPr>
          <w:rFonts w:ascii="Times New Roman" w:eastAsia="Times New Roman" w:hAnsi="Times New Roman" w:cs="Times New Roman"/>
          <w:b/>
          <w:bCs/>
          <w:color w:val="2C2F34"/>
          <w:sz w:val="28"/>
          <w:szCs w:val="24"/>
          <w:lang w:eastAsia="fr-FR"/>
        </w:rPr>
      </w:pPr>
      <w:r w:rsidRPr="00234EAF">
        <w:rPr>
          <w:rFonts w:ascii="Times New Roman" w:hAnsi="Times New Roman" w:cs="Times New Roman"/>
          <w:b/>
          <w:bCs/>
          <w:sz w:val="28"/>
          <w:szCs w:val="24"/>
        </w:rPr>
        <w:lastRenderedPageBreak/>
        <w:t>CONTRIBUTION DU SECTEUR EXTRACTIF AU BUDGET DE L’ÉTAT</w:t>
      </w:r>
      <w:r w:rsidR="008A385A" w:rsidRPr="00234EAF">
        <w:rPr>
          <w:rFonts w:ascii="Times New Roman" w:hAnsi="Times New Roman" w:cs="Times New Roman"/>
          <w:b/>
          <w:bCs/>
          <w:sz w:val="28"/>
          <w:szCs w:val="24"/>
        </w:rPr>
        <w:t xml:space="preserve"> EN 2023</w:t>
      </w:r>
    </w:p>
    <w:p w14:paraId="7D66AC23" w14:textId="77777777" w:rsidR="00E02109" w:rsidRDefault="00E02109" w:rsidP="00234EAF">
      <w:pPr>
        <w:spacing w:after="120" w:line="360" w:lineRule="auto"/>
        <w:jc w:val="both"/>
        <w:rPr>
          <w:rFonts w:ascii="Times New Roman" w:hAnsi="Times New Roman" w:cs="Times New Roman"/>
          <w:sz w:val="24"/>
          <w:szCs w:val="24"/>
        </w:rPr>
      </w:pPr>
      <w:r w:rsidRPr="00D85FA0">
        <w:rPr>
          <w:rFonts w:ascii="Times New Roman" w:hAnsi="Times New Roman" w:cs="Times New Roman"/>
          <w:sz w:val="24"/>
          <w:szCs w:val="24"/>
        </w:rPr>
        <w:t xml:space="preserve">En 2023, le budget de l’État a capté </w:t>
      </w:r>
      <w:r w:rsidRPr="00D85FA0">
        <w:rPr>
          <w:rFonts w:ascii="Times New Roman" w:hAnsi="Times New Roman" w:cs="Times New Roman"/>
          <w:b/>
          <w:bCs/>
          <w:sz w:val="24"/>
          <w:szCs w:val="24"/>
        </w:rPr>
        <w:t>1 035,86 milliards FCFA (1 714,06 millions USD)</w:t>
      </w:r>
      <w:r w:rsidRPr="00D85FA0">
        <w:rPr>
          <w:rFonts w:ascii="Times New Roman" w:hAnsi="Times New Roman" w:cs="Times New Roman"/>
          <w:sz w:val="24"/>
          <w:szCs w:val="24"/>
        </w:rPr>
        <w:t xml:space="preserve"> de recettes issues du secteur extractif, contre </w:t>
      </w:r>
      <w:r w:rsidRPr="00D85FA0">
        <w:rPr>
          <w:rFonts w:ascii="Times New Roman" w:hAnsi="Times New Roman" w:cs="Times New Roman"/>
          <w:b/>
          <w:bCs/>
          <w:sz w:val="24"/>
          <w:szCs w:val="24"/>
        </w:rPr>
        <w:t>1 119,58 milliards FCFA en 2022</w:t>
      </w:r>
      <w:r w:rsidRPr="00D85FA0">
        <w:rPr>
          <w:rFonts w:ascii="Times New Roman" w:hAnsi="Times New Roman" w:cs="Times New Roman"/>
          <w:sz w:val="24"/>
          <w:szCs w:val="24"/>
        </w:rPr>
        <w:t xml:space="preserve">. Cela correspond à une </w:t>
      </w:r>
      <w:r w:rsidRPr="00D85FA0">
        <w:rPr>
          <w:rFonts w:ascii="Times New Roman" w:hAnsi="Times New Roman" w:cs="Times New Roman"/>
          <w:b/>
          <w:bCs/>
          <w:sz w:val="24"/>
          <w:szCs w:val="24"/>
        </w:rPr>
        <w:t>baisse de 7,5 %</w:t>
      </w:r>
      <w:r w:rsidRPr="00D85FA0">
        <w:rPr>
          <w:rFonts w:ascii="Times New Roman" w:hAnsi="Times New Roman" w:cs="Times New Roman"/>
          <w:sz w:val="24"/>
          <w:szCs w:val="24"/>
        </w:rPr>
        <w:t>.</w:t>
      </w:r>
    </w:p>
    <w:p w14:paraId="08DFD083" w14:textId="77777777" w:rsidR="00234EAF" w:rsidRPr="00D85FA0" w:rsidRDefault="00234EAF" w:rsidP="00234EAF">
      <w:pPr>
        <w:spacing w:after="120" w:line="360" w:lineRule="auto"/>
        <w:jc w:val="both"/>
        <w:rPr>
          <w:rFonts w:ascii="Times New Roman" w:hAnsi="Times New Roman" w:cs="Times New Roman"/>
          <w:sz w:val="24"/>
          <w:szCs w:val="24"/>
        </w:rPr>
      </w:pPr>
    </w:p>
    <w:p w14:paraId="66E6AB2E" w14:textId="77777777" w:rsidR="00E02109" w:rsidRPr="00D85FA0" w:rsidRDefault="00E02109" w:rsidP="00234EAF">
      <w:pPr>
        <w:pStyle w:val="Paragraphedeliste"/>
        <w:numPr>
          <w:ilvl w:val="0"/>
          <w:numId w:val="9"/>
        </w:numPr>
        <w:autoSpaceDE w:val="0"/>
        <w:autoSpaceDN w:val="0"/>
        <w:adjustRightInd w:val="0"/>
        <w:spacing w:after="120" w:line="360" w:lineRule="auto"/>
        <w:jc w:val="both"/>
        <w:rPr>
          <w:rFonts w:ascii="Times New Roman" w:hAnsi="Times New Roman" w:cs="Times New Roman"/>
          <w:b/>
          <w:bCs/>
          <w:sz w:val="24"/>
          <w:szCs w:val="24"/>
        </w:rPr>
      </w:pPr>
      <w:r w:rsidRPr="00D85FA0">
        <w:rPr>
          <w:rFonts w:ascii="Times New Roman" w:hAnsi="Times New Roman" w:cs="Times New Roman"/>
          <w:b/>
          <w:bCs/>
          <w:sz w:val="24"/>
          <w:szCs w:val="24"/>
        </w:rPr>
        <w:t>Répartition des revenus budgétaires par secteur</w:t>
      </w:r>
    </w:p>
    <w:p w14:paraId="3A41F647" w14:textId="77777777" w:rsidR="00E02109" w:rsidRDefault="00E02109" w:rsidP="00234EAF">
      <w:pPr>
        <w:spacing w:line="360" w:lineRule="auto"/>
        <w:jc w:val="both"/>
        <w:rPr>
          <w:rFonts w:ascii="Times New Roman" w:hAnsi="Times New Roman" w:cs="Times New Roman"/>
          <w:sz w:val="24"/>
          <w:szCs w:val="24"/>
        </w:rPr>
      </w:pPr>
      <w:r w:rsidRPr="00D85FA0">
        <w:rPr>
          <w:rFonts w:ascii="Times New Roman" w:hAnsi="Times New Roman" w:cs="Times New Roman"/>
          <w:sz w:val="24"/>
          <w:szCs w:val="24"/>
        </w:rPr>
        <w:t xml:space="preserve">Ces recettes proviennent principalement du sous-secteur des </w:t>
      </w:r>
      <w:r w:rsidRPr="00D85FA0">
        <w:rPr>
          <w:rFonts w:ascii="Times New Roman" w:hAnsi="Times New Roman" w:cs="Times New Roman"/>
          <w:b/>
          <w:bCs/>
          <w:sz w:val="24"/>
          <w:szCs w:val="24"/>
        </w:rPr>
        <w:t>hydrocarbures</w:t>
      </w:r>
      <w:r w:rsidRPr="00D85FA0">
        <w:rPr>
          <w:rFonts w:ascii="Times New Roman" w:hAnsi="Times New Roman" w:cs="Times New Roman"/>
          <w:sz w:val="24"/>
          <w:szCs w:val="24"/>
        </w:rPr>
        <w:t xml:space="preserve">, qui à lui seul représente </w:t>
      </w:r>
      <w:r w:rsidRPr="00D85FA0">
        <w:rPr>
          <w:rFonts w:ascii="Times New Roman" w:hAnsi="Times New Roman" w:cs="Times New Roman"/>
          <w:b/>
          <w:bCs/>
          <w:sz w:val="24"/>
          <w:szCs w:val="24"/>
        </w:rPr>
        <w:t>95,3 %</w:t>
      </w:r>
      <w:r w:rsidRPr="00D85FA0">
        <w:rPr>
          <w:rFonts w:ascii="Times New Roman" w:hAnsi="Times New Roman" w:cs="Times New Roman"/>
          <w:sz w:val="24"/>
          <w:szCs w:val="24"/>
        </w:rPr>
        <w:t xml:space="preserve"> des revenus, malgré une baisse par rapport à 2022. Le </w:t>
      </w:r>
      <w:r w:rsidRPr="00D85FA0">
        <w:rPr>
          <w:rFonts w:ascii="Times New Roman" w:hAnsi="Times New Roman" w:cs="Times New Roman"/>
          <w:b/>
          <w:bCs/>
          <w:sz w:val="24"/>
          <w:szCs w:val="24"/>
        </w:rPr>
        <w:t>transport pétrolier</w:t>
      </w:r>
      <w:r w:rsidRPr="00D85FA0">
        <w:rPr>
          <w:rFonts w:ascii="Times New Roman" w:hAnsi="Times New Roman" w:cs="Times New Roman"/>
          <w:sz w:val="24"/>
          <w:szCs w:val="24"/>
        </w:rPr>
        <w:t xml:space="preserve"> a connu une légère progression, tandis que les </w:t>
      </w:r>
      <w:r w:rsidRPr="00D85FA0">
        <w:rPr>
          <w:rFonts w:ascii="Times New Roman" w:hAnsi="Times New Roman" w:cs="Times New Roman"/>
          <w:b/>
          <w:bCs/>
          <w:sz w:val="24"/>
          <w:szCs w:val="24"/>
        </w:rPr>
        <w:t>mines et carrières industrielles</w:t>
      </w:r>
      <w:r w:rsidRPr="00D85FA0">
        <w:rPr>
          <w:rFonts w:ascii="Times New Roman" w:hAnsi="Times New Roman" w:cs="Times New Roman"/>
          <w:sz w:val="24"/>
          <w:szCs w:val="24"/>
        </w:rPr>
        <w:t xml:space="preserve"> affichent une croissance notable, bien que leur part dans l’ensemble reste marginale.</w:t>
      </w:r>
    </w:p>
    <w:p w14:paraId="0D4EE85E" w14:textId="77777777" w:rsidR="00234EAF" w:rsidRPr="00D85FA0" w:rsidRDefault="00234EAF" w:rsidP="00234EAF">
      <w:pPr>
        <w:spacing w:line="360" w:lineRule="auto"/>
        <w:jc w:val="both"/>
        <w:rPr>
          <w:rFonts w:ascii="Times New Roman" w:hAnsi="Times New Roman" w:cs="Times New Roman"/>
          <w:sz w:val="24"/>
          <w:szCs w:val="24"/>
        </w:rPr>
      </w:pPr>
    </w:p>
    <w:p w14:paraId="0F91D138" w14:textId="06A23EFB" w:rsidR="00E02109" w:rsidRPr="00D85FA0" w:rsidRDefault="00E02109" w:rsidP="00234EAF">
      <w:pPr>
        <w:spacing w:after="200" w:line="360" w:lineRule="auto"/>
        <w:jc w:val="both"/>
        <w:rPr>
          <w:rFonts w:ascii="Times New Roman" w:hAnsi="Times New Roman" w:cs="Times New Roman"/>
          <w:b/>
          <w:sz w:val="24"/>
          <w:szCs w:val="24"/>
          <w:vertAlign w:val="superscript"/>
        </w:rPr>
      </w:pPr>
      <w:bookmarkStart w:id="0" w:name="_Toc211854865"/>
      <w:r w:rsidRPr="00D85FA0">
        <w:rPr>
          <w:rFonts w:ascii="Times New Roman" w:hAnsi="Times New Roman" w:cs="Times New Roman"/>
          <w:b/>
          <w:sz w:val="24"/>
          <w:szCs w:val="24"/>
        </w:rPr>
        <w:t>Tableau 1 - État des revenus budgétaires par secteur</w:t>
      </w:r>
      <w:bookmarkEnd w:id="0"/>
      <w:r w:rsidRPr="00D85FA0">
        <w:rPr>
          <w:rFonts w:ascii="Times New Roman" w:hAnsi="Times New Roman" w:cs="Times New Roman"/>
          <w:b/>
          <w:sz w:val="24"/>
          <w:szCs w:val="24"/>
          <w:vertAlign w:val="superscript"/>
        </w:rPr>
        <w:t>1</w:t>
      </w:r>
    </w:p>
    <w:tbl>
      <w:tblPr>
        <w:tblW w:w="5632" w:type="pct"/>
        <w:tblInd w:w="-714"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left w:w="70" w:type="dxa"/>
          <w:right w:w="70" w:type="dxa"/>
        </w:tblCellMar>
        <w:tblLook w:val="04A0" w:firstRow="1" w:lastRow="0" w:firstColumn="1" w:lastColumn="0" w:noHBand="0" w:noVBand="1"/>
      </w:tblPr>
      <w:tblGrid>
        <w:gridCol w:w="2467"/>
        <w:gridCol w:w="1400"/>
        <w:gridCol w:w="1487"/>
        <w:gridCol w:w="1400"/>
        <w:gridCol w:w="1487"/>
        <w:gridCol w:w="1260"/>
        <w:gridCol w:w="960"/>
      </w:tblGrid>
      <w:tr w:rsidR="00D85FA0" w:rsidRPr="00D85FA0" w14:paraId="7F44EDFB" w14:textId="77777777" w:rsidTr="00D85FA0">
        <w:trPr>
          <w:trHeight w:val="284"/>
        </w:trPr>
        <w:tc>
          <w:tcPr>
            <w:tcW w:w="1042" w:type="pct"/>
            <w:vMerge w:val="restart"/>
            <w:shd w:val="clear" w:color="000000" w:fill="748A96"/>
            <w:noWrap/>
            <w:vAlign w:val="center"/>
            <w:hideMark/>
          </w:tcPr>
          <w:p w14:paraId="6814197F"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(En millions de FCFA)</w:t>
            </w:r>
          </w:p>
        </w:tc>
        <w:tc>
          <w:tcPr>
            <w:tcW w:w="1388" w:type="pct"/>
            <w:gridSpan w:val="2"/>
            <w:shd w:val="clear" w:color="000000" w:fill="748A96"/>
            <w:noWrap/>
            <w:vAlign w:val="center"/>
            <w:hideMark/>
          </w:tcPr>
          <w:p w14:paraId="66231A44"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2022</w:t>
            </w:r>
          </w:p>
        </w:tc>
        <w:tc>
          <w:tcPr>
            <w:tcW w:w="1389" w:type="pct"/>
            <w:gridSpan w:val="2"/>
            <w:shd w:val="clear" w:color="000000" w:fill="748A96"/>
            <w:noWrap/>
            <w:vAlign w:val="center"/>
            <w:hideMark/>
          </w:tcPr>
          <w:p w14:paraId="6BB38994"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2023</w:t>
            </w:r>
          </w:p>
        </w:tc>
        <w:tc>
          <w:tcPr>
            <w:tcW w:w="1180" w:type="pct"/>
            <w:gridSpan w:val="2"/>
            <w:shd w:val="clear" w:color="000000" w:fill="748A96"/>
            <w:noWrap/>
            <w:vAlign w:val="center"/>
            <w:hideMark/>
          </w:tcPr>
          <w:p w14:paraId="61B1DBAA"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Évolution</w:t>
            </w:r>
          </w:p>
        </w:tc>
      </w:tr>
      <w:tr w:rsidR="00D85FA0" w:rsidRPr="00D85FA0" w14:paraId="5683C886" w14:textId="77777777" w:rsidTr="00D85FA0">
        <w:trPr>
          <w:trHeight w:val="284"/>
        </w:trPr>
        <w:tc>
          <w:tcPr>
            <w:tcW w:w="1042" w:type="pct"/>
            <w:vMerge/>
            <w:vAlign w:val="center"/>
            <w:hideMark/>
          </w:tcPr>
          <w:p w14:paraId="126AC599"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p>
        </w:tc>
        <w:tc>
          <w:tcPr>
            <w:tcW w:w="694" w:type="pct"/>
            <w:shd w:val="clear" w:color="000000" w:fill="748A96"/>
            <w:vAlign w:val="center"/>
            <w:hideMark/>
          </w:tcPr>
          <w:p w14:paraId="252B4B89"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Montant</w:t>
            </w:r>
          </w:p>
        </w:tc>
        <w:tc>
          <w:tcPr>
            <w:tcW w:w="694" w:type="pct"/>
            <w:shd w:val="clear" w:color="000000" w:fill="748A96"/>
            <w:noWrap/>
            <w:vAlign w:val="center"/>
            <w:hideMark/>
          </w:tcPr>
          <w:p w14:paraId="08FD8F27"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 xml:space="preserve">Contribution </w:t>
            </w:r>
          </w:p>
        </w:tc>
        <w:tc>
          <w:tcPr>
            <w:tcW w:w="764" w:type="pct"/>
            <w:shd w:val="clear" w:color="000000" w:fill="748A96"/>
            <w:vAlign w:val="center"/>
            <w:hideMark/>
          </w:tcPr>
          <w:p w14:paraId="0269907B"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Montant</w:t>
            </w:r>
          </w:p>
        </w:tc>
        <w:tc>
          <w:tcPr>
            <w:tcW w:w="625" w:type="pct"/>
            <w:shd w:val="clear" w:color="000000" w:fill="748A96"/>
            <w:noWrap/>
            <w:vAlign w:val="center"/>
            <w:hideMark/>
          </w:tcPr>
          <w:p w14:paraId="26D872D6"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 xml:space="preserve">Contribution </w:t>
            </w:r>
          </w:p>
        </w:tc>
        <w:tc>
          <w:tcPr>
            <w:tcW w:w="624" w:type="pct"/>
            <w:shd w:val="clear" w:color="000000" w:fill="748A96"/>
            <w:vAlign w:val="center"/>
            <w:hideMark/>
          </w:tcPr>
          <w:p w14:paraId="58BA3F67"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Montant</w:t>
            </w:r>
          </w:p>
        </w:tc>
        <w:tc>
          <w:tcPr>
            <w:tcW w:w="556" w:type="pct"/>
            <w:shd w:val="clear" w:color="000000" w:fill="748A96"/>
            <w:noWrap/>
            <w:vAlign w:val="center"/>
            <w:hideMark/>
          </w:tcPr>
          <w:p w14:paraId="7C1F4415"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En %</w:t>
            </w:r>
          </w:p>
        </w:tc>
      </w:tr>
      <w:tr w:rsidR="00D85FA0" w:rsidRPr="00D85FA0" w14:paraId="0F4289FA" w14:textId="77777777" w:rsidTr="00D85FA0">
        <w:trPr>
          <w:trHeight w:val="284"/>
        </w:trPr>
        <w:tc>
          <w:tcPr>
            <w:tcW w:w="1042" w:type="pct"/>
            <w:shd w:val="clear" w:color="000000" w:fill="E2EFD9"/>
            <w:noWrap/>
            <w:vAlign w:val="center"/>
            <w:hideMark/>
          </w:tcPr>
          <w:p w14:paraId="18B08FEE"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Hydrocarbures</w:t>
            </w:r>
          </w:p>
        </w:tc>
        <w:tc>
          <w:tcPr>
            <w:tcW w:w="694" w:type="pct"/>
            <w:shd w:val="clear" w:color="000000" w:fill="E2EFD9"/>
            <w:noWrap/>
            <w:vAlign w:val="center"/>
            <w:hideMark/>
          </w:tcPr>
          <w:p w14:paraId="488E495E"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1 074 293,50</w:t>
            </w:r>
          </w:p>
        </w:tc>
        <w:tc>
          <w:tcPr>
            <w:tcW w:w="694" w:type="pct"/>
            <w:shd w:val="clear" w:color="000000" w:fill="E2EFD9"/>
            <w:noWrap/>
            <w:vAlign w:val="center"/>
            <w:hideMark/>
          </w:tcPr>
          <w:p w14:paraId="15A185ED"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95,95%</w:t>
            </w:r>
          </w:p>
        </w:tc>
        <w:tc>
          <w:tcPr>
            <w:tcW w:w="764" w:type="pct"/>
            <w:shd w:val="clear" w:color="000000" w:fill="E2EFD9"/>
            <w:noWrap/>
            <w:vAlign w:val="center"/>
            <w:hideMark/>
          </w:tcPr>
          <w:p w14:paraId="709B825A"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hAnsi="Times New Roman" w:cs="Times New Roman"/>
                <w:color w:val="000000"/>
                <w:sz w:val="24"/>
                <w:szCs w:val="24"/>
              </w:rPr>
              <w:t>987 458,92</w:t>
            </w:r>
          </w:p>
        </w:tc>
        <w:tc>
          <w:tcPr>
            <w:tcW w:w="625" w:type="pct"/>
            <w:shd w:val="clear" w:color="000000" w:fill="E2EFD9"/>
            <w:noWrap/>
            <w:vAlign w:val="center"/>
            <w:hideMark/>
          </w:tcPr>
          <w:p w14:paraId="18E4ABD0"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hAnsi="Times New Roman" w:cs="Times New Roman"/>
                <w:color w:val="000000"/>
                <w:sz w:val="24"/>
                <w:szCs w:val="24"/>
              </w:rPr>
              <w:t>95,33%</w:t>
            </w:r>
          </w:p>
        </w:tc>
        <w:tc>
          <w:tcPr>
            <w:tcW w:w="624" w:type="pct"/>
            <w:shd w:val="clear" w:color="000000" w:fill="E2EFD9"/>
            <w:noWrap/>
            <w:vAlign w:val="center"/>
            <w:hideMark/>
          </w:tcPr>
          <w:p w14:paraId="179FFA72" w14:textId="77777777" w:rsidR="00E02109" w:rsidRPr="00D85FA0" w:rsidRDefault="00E02109" w:rsidP="002601DF">
            <w:pPr>
              <w:spacing w:line="276" w:lineRule="auto"/>
              <w:jc w:val="both"/>
              <w:rPr>
                <w:rFonts w:ascii="Times New Roman" w:eastAsia="Times New Roman" w:hAnsi="Times New Roman" w:cs="Times New Roman"/>
                <w:b/>
                <w:bCs/>
                <w:color w:val="000000"/>
                <w:sz w:val="24"/>
                <w:szCs w:val="24"/>
                <w:lang w:eastAsia="fr-FR"/>
              </w:rPr>
            </w:pPr>
            <w:r w:rsidRPr="00D85FA0">
              <w:rPr>
                <w:rFonts w:ascii="Times New Roman" w:hAnsi="Times New Roman" w:cs="Times New Roman"/>
                <w:b/>
                <w:bCs/>
                <w:color w:val="000000"/>
                <w:sz w:val="24"/>
                <w:szCs w:val="24"/>
              </w:rPr>
              <w:t>(86 834,58)</w:t>
            </w:r>
          </w:p>
        </w:tc>
        <w:tc>
          <w:tcPr>
            <w:tcW w:w="556" w:type="pct"/>
            <w:shd w:val="clear" w:color="000000" w:fill="E2EFD9"/>
            <w:noWrap/>
            <w:vAlign w:val="center"/>
            <w:hideMark/>
          </w:tcPr>
          <w:p w14:paraId="6F579D82" w14:textId="77777777" w:rsidR="00E02109" w:rsidRPr="00D85FA0" w:rsidRDefault="00E02109" w:rsidP="002601DF">
            <w:pPr>
              <w:spacing w:line="276" w:lineRule="auto"/>
              <w:jc w:val="both"/>
              <w:rPr>
                <w:rFonts w:ascii="Times New Roman" w:eastAsia="Times New Roman" w:hAnsi="Times New Roman" w:cs="Times New Roman"/>
                <w:b/>
                <w:bCs/>
                <w:color w:val="000000"/>
                <w:sz w:val="24"/>
                <w:szCs w:val="24"/>
                <w:lang w:eastAsia="fr-FR"/>
              </w:rPr>
            </w:pPr>
            <w:r w:rsidRPr="00D85FA0">
              <w:rPr>
                <w:rFonts w:ascii="Times New Roman" w:hAnsi="Times New Roman" w:cs="Times New Roman"/>
                <w:b/>
                <w:bCs/>
                <w:color w:val="000000"/>
                <w:sz w:val="24"/>
                <w:szCs w:val="24"/>
              </w:rPr>
              <w:t>(8,08%)</w:t>
            </w:r>
          </w:p>
        </w:tc>
      </w:tr>
      <w:tr w:rsidR="00D85FA0" w:rsidRPr="00D85FA0" w14:paraId="58C4F791" w14:textId="77777777" w:rsidTr="00D85FA0">
        <w:trPr>
          <w:trHeight w:val="284"/>
        </w:trPr>
        <w:tc>
          <w:tcPr>
            <w:tcW w:w="1042" w:type="pct"/>
            <w:noWrap/>
            <w:vAlign w:val="center"/>
            <w:hideMark/>
          </w:tcPr>
          <w:p w14:paraId="06B3F824"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Transport pétrolier</w:t>
            </w:r>
          </w:p>
        </w:tc>
        <w:tc>
          <w:tcPr>
            <w:tcW w:w="694" w:type="pct"/>
            <w:noWrap/>
            <w:vAlign w:val="center"/>
            <w:hideMark/>
          </w:tcPr>
          <w:p w14:paraId="41433905"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44 330,70</w:t>
            </w:r>
          </w:p>
        </w:tc>
        <w:tc>
          <w:tcPr>
            <w:tcW w:w="694" w:type="pct"/>
            <w:noWrap/>
            <w:vAlign w:val="center"/>
            <w:hideMark/>
          </w:tcPr>
          <w:p w14:paraId="4AEF5AA5"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3,96%</w:t>
            </w:r>
          </w:p>
        </w:tc>
        <w:tc>
          <w:tcPr>
            <w:tcW w:w="764" w:type="pct"/>
            <w:noWrap/>
            <w:vAlign w:val="center"/>
            <w:hideMark/>
          </w:tcPr>
          <w:p w14:paraId="5B754002"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hAnsi="Times New Roman" w:cs="Times New Roman"/>
                <w:color w:val="000000"/>
                <w:sz w:val="24"/>
                <w:szCs w:val="24"/>
              </w:rPr>
              <w:t>47 009,76</w:t>
            </w:r>
          </w:p>
        </w:tc>
        <w:tc>
          <w:tcPr>
            <w:tcW w:w="625" w:type="pct"/>
            <w:noWrap/>
            <w:vAlign w:val="center"/>
            <w:hideMark/>
          </w:tcPr>
          <w:p w14:paraId="3C258549"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hAnsi="Times New Roman" w:cs="Times New Roman"/>
                <w:color w:val="000000"/>
                <w:sz w:val="24"/>
                <w:szCs w:val="24"/>
              </w:rPr>
              <w:t>4,54%</w:t>
            </w:r>
          </w:p>
        </w:tc>
        <w:tc>
          <w:tcPr>
            <w:tcW w:w="624" w:type="pct"/>
            <w:noWrap/>
            <w:vAlign w:val="center"/>
            <w:hideMark/>
          </w:tcPr>
          <w:p w14:paraId="06772554" w14:textId="77777777" w:rsidR="00E02109" w:rsidRPr="00D85FA0" w:rsidRDefault="00E02109" w:rsidP="002601DF">
            <w:pPr>
              <w:spacing w:line="276" w:lineRule="auto"/>
              <w:jc w:val="both"/>
              <w:rPr>
                <w:rFonts w:ascii="Times New Roman" w:eastAsia="Times New Roman" w:hAnsi="Times New Roman" w:cs="Times New Roman"/>
                <w:b/>
                <w:bCs/>
                <w:color w:val="000000"/>
                <w:sz w:val="24"/>
                <w:szCs w:val="24"/>
                <w:lang w:eastAsia="fr-FR"/>
              </w:rPr>
            </w:pPr>
            <w:r w:rsidRPr="00D85FA0">
              <w:rPr>
                <w:rFonts w:ascii="Times New Roman" w:hAnsi="Times New Roman" w:cs="Times New Roman"/>
                <w:b/>
                <w:bCs/>
                <w:color w:val="000000"/>
                <w:sz w:val="24"/>
                <w:szCs w:val="24"/>
              </w:rPr>
              <w:t>2 679,05</w:t>
            </w:r>
          </w:p>
        </w:tc>
        <w:tc>
          <w:tcPr>
            <w:tcW w:w="556" w:type="pct"/>
            <w:noWrap/>
            <w:vAlign w:val="center"/>
            <w:hideMark/>
          </w:tcPr>
          <w:p w14:paraId="23DFB8E5" w14:textId="77777777" w:rsidR="00E02109" w:rsidRPr="00D85FA0" w:rsidRDefault="00E02109" w:rsidP="002601DF">
            <w:pPr>
              <w:spacing w:line="276" w:lineRule="auto"/>
              <w:jc w:val="both"/>
              <w:rPr>
                <w:rFonts w:ascii="Times New Roman" w:eastAsia="Times New Roman" w:hAnsi="Times New Roman" w:cs="Times New Roman"/>
                <w:b/>
                <w:bCs/>
                <w:color w:val="000000"/>
                <w:sz w:val="24"/>
                <w:szCs w:val="24"/>
                <w:lang w:eastAsia="fr-FR"/>
              </w:rPr>
            </w:pPr>
            <w:r w:rsidRPr="00D85FA0">
              <w:rPr>
                <w:rFonts w:ascii="Times New Roman" w:hAnsi="Times New Roman" w:cs="Times New Roman"/>
                <w:b/>
                <w:bCs/>
                <w:color w:val="000000"/>
                <w:sz w:val="24"/>
                <w:szCs w:val="24"/>
              </w:rPr>
              <w:t>6,04%</w:t>
            </w:r>
          </w:p>
        </w:tc>
      </w:tr>
      <w:tr w:rsidR="00D85FA0" w:rsidRPr="00D85FA0" w14:paraId="7963ECC1" w14:textId="77777777" w:rsidTr="00D85FA0">
        <w:trPr>
          <w:trHeight w:val="284"/>
        </w:trPr>
        <w:tc>
          <w:tcPr>
            <w:tcW w:w="1042" w:type="pct"/>
            <w:shd w:val="clear" w:color="000000" w:fill="E2EFD9"/>
            <w:noWrap/>
            <w:vAlign w:val="center"/>
            <w:hideMark/>
          </w:tcPr>
          <w:p w14:paraId="175A4F5E"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Minier</w:t>
            </w:r>
          </w:p>
        </w:tc>
        <w:tc>
          <w:tcPr>
            <w:tcW w:w="694" w:type="pct"/>
            <w:shd w:val="clear" w:color="000000" w:fill="E2EFD9"/>
            <w:noWrap/>
            <w:vAlign w:val="center"/>
            <w:hideMark/>
          </w:tcPr>
          <w:p w14:paraId="7EA38CE1"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957,90</w:t>
            </w:r>
          </w:p>
        </w:tc>
        <w:tc>
          <w:tcPr>
            <w:tcW w:w="694" w:type="pct"/>
            <w:shd w:val="clear" w:color="000000" w:fill="E2EFD9"/>
            <w:noWrap/>
            <w:vAlign w:val="center"/>
            <w:hideMark/>
          </w:tcPr>
          <w:p w14:paraId="63609BBB"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eastAsia="Times New Roman" w:hAnsi="Times New Roman" w:cs="Times New Roman"/>
                <w:color w:val="000000"/>
                <w:sz w:val="24"/>
                <w:szCs w:val="24"/>
                <w:lang w:eastAsia="fr-FR"/>
              </w:rPr>
              <w:t>0,09%</w:t>
            </w:r>
          </w:p>
        </w:tc>
        <w:tc>
          <w:tcPr>
            <w:tcW w:w="764" w:type="pct"/>
            <w:shd w:val="clear" w:color="000000" w:fill="E2EFD9"/>
            <w:noWrap/>
            <w:vAlign w:val="center"/>
            <w:hideMark/>
          </w:tcPr>
          <w:p w14:paraId="0C4348DA"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hAnsi="Times New Roman" w:cs="Times New Roman"/>
                <w:color w:val="000000"/>
                <w:sz w:val="24"/>
                <w:szCs w:val="24"/>
              </w:rPr>
              <w:t>1 386,16</w:t>
            </w:r>
          </w:p>
        </w:tc>
        <w:tc>
          <w:tcPr>
            <w:tcW w:w="625" w:type="pct"/>
            <w:shd w:val="clear" w:color="000000" w:fill="E2EFD9"/>
            <w:noWrap/>
            <w:vAlign w:val="center"/>
            <w:hideMark/>
          </w:tcPr>
          <w:p w14:paraId="0C4E8699" w14:textId="77777777" w:rsidR="00E02109" w:rsidRPr="00D85FA0" w:rsidRDefault="00E02109" w:rsidP="002601DF">
            <w:pPr>
              <w:spacing w:line="276" w:lineRule="auto"/>
              <w:jc w:val="both"/>
              <w:rPr>
                <w:rFonts w:ascii="Times New Roman" w:eastAsia="Times New Roman" w:hAnsi="Times New Roman" w:cs="Times New Roman"/>
                <w:color w:val="000000"/>
                <w:sz w:val="24"/>
                <w:szCs w:val="24"/>
                <w:lang w:eastAsia="fr-FR"/>
              </w:rPr>
            </w:pPr>
            <w:r w:rsidRPr="00D85FA0">
              <w:rPr>
                <w:rFonts w:ascii="Times New Roman" w:hAnsi="Times New Roman" w:cs="Times New Roman"/>
                <w:color w:val="000000"/>
                <w:sz w:val="24"/>
                <w:szCs w:val="24"/>
              </w:rPr>
              <w:t>0,13%</w:t>
            </w:r>
          </w:p>
        </w:tc>
        <w:tc>
          <w:tcPr>
            <w:tcW w:w="624" w:type="pct"/>
            <w:shd w:val="clear" w:color="000000" w:fill="E2EFD9"/>
            <w:noWrap/>
            <w:vAlign w:val="center"/>
            <w:hideMark/>
          </w:tcPr>
          <w:p w14:paraId="3B8E6649" w14:textId="77777777" w:rsidR="00E02109" w:rsidRPr="00D85FA0" w:rsidRDefault="00E02109" w:rsidP="002601DF">
            <w:pPr>
              <w:spacing w:line="276" w:lineRule="auto"/>
              <w:jc w:val="both"/>
              <w:rPr>
                <w:rFonts w:ascii="Times New Roman" w:eastAsia="Times New Roman" w:hAnsi="Times New Roman" w:cs="Times New Roman"/>
                <w:b/>
                <w:bCs/>
                <w:color w:val="000000"/>
                <w:sz w:val="24"/>
                <w:szCs w:val="24"/>
                <w:lang w:eastAsia="fr-FR"/>
              </w:rPr>
            </w:pPr>
            <w:r w:rsidRPr="00D85FA0">
              <w:rPr>
                <w:rFonts w:ascii="Times New Roman" w:hAnsi="Times New Roman" w:cs="Times New Roman"/>
                <w:b/>
                <w:bCs/>
                <w:color w:val="000000"/>
                <w:sz w:val="24"/>
                <w:szCs w:val="24"/>
              </w:rPr>
              <w:t>428,26</w:t>
            </w:r>
          </w:p>
        </w:tc>
        <w:tc>
          <w:tcPr>
            <w:tcW w:w="556" w:type="pct"/>
            <w:shd w:val="clear" w:color="000000" w:fill="E2EFD9"/>
            <w:noWrap/>
            <w:vAlign w:val="center"/>
            <w:hideMark/>
          </w:tcPr>
          <w:p w14:paraId="60F6DC07" w14:textId="77777777" w:rsidR="00E02109" w:rsidRPr="00D85FA0" w:rsidRDefault="00E02109" w:rsidP="002601DF">
            <w:pPr>
              <w:spacing w:line="276" w:lineRule="auto"/>
              <w:jc w:val="both"/>
              <w:rPr>
                <w:rFonts w:ascii="Times New Roman" w:eastAsia="Times New Roman" w:hAnsi="Times New Roman" w:cs="Times New Roman"/>
                <w:b/>
                <w:bCs/>
                <w:color w:val="000000"/>
                <w:sz w:val="24"/>
                <w:szCs w:val="24"/>
                <w:lang w:eastAsia="fr-FR"/>
              </w:rPr>
            </w:pPr>
            <w:r w:rsidRPr="00D85FA0">
              <w:rPr>
                <w:rFonts w:ascii="Times New Roman" w:hAnsi="Times New Roman" w:cs="Times New Roman"/>
                <w:b/>
                <w:bCs/>
                <w:color w:val="000000"/>
                <w:sz w:val="24"/>
                <w:szCs w:val="24"/>
              </w:rPr>
              <w:t>44,71%</w:t>
            </w:r>
          </w:p>
        </w:tc>
      </w:tr>
      <w:tr w:rsidR="00D85FA0" w:rsidRPr="00D85FA0" w14:paraId="774C48AA" w14:textId="77777777" w:rsidTr="00D85FA0">
        <w:trPr>
          <w:trHeight w:val="284"/>
        </w:trPr>
        <w:tc>
          <w:tcPr>
            <w:tcW w:w="1042" w:type="pct"/>
            <w:shd w:val="clear" w:color="000000" w:fill="748A96"/>
            <w:noWrap/>
            <w:vAlign w:val="center"/>
            <w:hideMark/>
          </w:tcPr>
          <w:p w14:paraId="097E9DC1"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 xml:space="preserve">Total </w:t>
            </w:r>
          </w:p>
        </w:tc>
        <w:tc>
          <w:tcPr>
            <w:tcW w:w="694" w:type="pct"/>
            <w:shd w:val="clear" w:color="000000" w:fill="748A96"/>
            <w:noWrap/>
            <w:vAlign w:val="center"/>
            <w:hideMark/>
          </w:tcPr>
          <w:p w14:paraId="5976AF7B"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1 119 582,10</w:t>
            </w:r>
          </w:p>
        </w:tc>
        <w:tc>
          <w:tcPr>
            <w:tcW w:w="694" w:type="pct"/>
            <w:shd w:val="clear" w:color="000000" w:fill="748A96"/>
            <w:noWrap/>
            <w:vAlign w:val="center"/>
            <w:hideMark/>
          </w:tcPr>
          <w:p w14:paraId="3936EEA1"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eastAsia="Times New Roman" w:hAnsi="Times New Roman" w:cs="Times New Roman"/>
                <w:b/>
                <w:bCs/>
                <w:color w:val="FFFFFF"/>
                <w:sz w:val="24"/>
                <w:szCs w:val="24"/>
                <w:lang w:eastAsia="fr-FR"/>
              </w:rPr>
              <w:t>100%</w:t>
            </w:r>
          </w:p>
        </w:tc>
        <w:tc>
          <w:tcPr>
            <w:tcW w:w="764" w:type="pct"/>
            <w:shd w:val="clear" w:color="000000" w:fill="748A96"/>
            <w:noWrap/>
            <w:vAlign w:val="center"/>
            <w:hideMark/>
          </w:tcPr>
          <w:p w14:paraId="0B6D7461"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hAnsi="Times New Roman" w:cs="Times New Roman"/>
                <w:b/>
                <w:bCs/>
                <w:color w:val="FFFFFF"/>
                <w:sz w:val="24"/>
                <w:szCs w:val="24"/>
              </w:rPr>
              <w:t>1 035 854,84</w:t>
            </w:r>
          </w:p>
        </w:tc>
        <w:tc>
          <w:tcPr>
            <w:tcW w:w="625" w:type="pct"/>
            <w:shd w:val="clear" w:color="000000" w:fill="748A96"/>
            <w:noWrap/>
            <w:vAlign w:val="center"/>
            <w:hideMark/>
          </w:tcPr>
          <w:p w14:paraId="01165135"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hAnsi="Times New Roman" w:cs="Times New Roman"/>
                <w:b/>
                <w:bCs/>
                <w:color w:val="FFFFFF"/>
                <w:sz w:val="24"/>
                <w:szCs w:val="24"/>
              </w:rPr>
              <w:t>100%</w:t>
            </w:r>
          </w:p>
        </w:tc>
        <w:tc>
          <w:tcPr>
            <w:tcW w:w="624" w:type="pct"/>
            <w:shd w:val="clear" w:color="000000" w:fill="748A96"/>
            <w:noWrap/>
            <w:vAlign w:val="center"/>
            <w:hideMark/>
          </w:tcPr>
          <w:p w14:paraId="503618EC"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hAnsi="Times New Roman" w:cs="Times New Roman"/>
                <w:b/>
                <w:bCs/>
                <w:color w:val="FFFFFF"/>
                <w:sz w:val="24"/>
                <w:szCs w:val="24"/>
              </w:rPr>
              <w:t>(83 727,26)</w:t>
            </w:r>
          </w:p>
        </w:tc>
        <w:tc>
          <w:tcPr>
            <w:tcW w:w="556" w:type="pct"/>
            <w:shd w:val="clear" w:color="000000" w:fill="748A96"/>
            <w:noWrap/>
            <w:vAlign w:val="center"/>
            <w:hideMark/>
          </w:tcPr>
          <w:p w14:paraId="4666F831" w14:textId="77777777" w:rsidR="00E02109" w:rsidRPr="00D85FA0" w:rsidRDefault="00E02109" w:rsidP="002601DF">
            <w:pPr>
              <w:spacing w:line="276" w:lineRule="auto"/>
              <w:jc w:val="both"/>
              <w:rPr>
                <w:rFonts w:ascii="Times New Roman" w:eastAsia="Times New Roman" w:hAnsi="Times New Roman" w:cs="Times New Roman"/>
                <w:b/>
                <w:bCs/>
                <w:color w:val="FFFFFF"/>
                <w:sz w:val="24"/>
                <w:szCs w:val="24"/>
                <w:lang w:eastAsia="fr-FR"/>
              </w:rPr>
            </w:pPr>
            <w:r w:rsidRPr="00D85FA0">
              <w:rPr>
                <w:rFonts w:ascii="Times New Roman" w:hAnsi="Times New Roman" w:cs="Times New Roman"/>
                <w:b/>
                <w:bCs/>
                <w:color w:val="FFFFFF"/>
                <w:sz w:val="24"/>
                <w:szCs w:val="24"/>
              </w:rPr>
              <w:t>(7,48%)</w:t>
            </w:r>
          </w:p>
        </w:tc>
      </w:tr>
    </w:tbl>
    <w:p w14:paraId="7F6D5D00" w14:textId="07C4EF53" w:rsidR="00E02109" w:rsidRPr="00D85FA0" w:rsidRDefault="00E02109" w:rsidP="002601DF">
      <w:pPr>
        <w:shd w:val="clear" w:color="auto" w:fill="FFFFFF"/>
        <w:spacing w:after="375" w:line="276" w:lineRule="auto"/>
        <w:ind w:left="360"/>
        <w:jc w:val="both"/>
        <w:rPr>
          <w:rFonts w:ascii="Times New Roman" w:eastAsia="Times New Roman" w:hAnsi="Times New Roman" w:cs="Times New Roman"/>
          <w:b/>
          <w:bCs/>
          <w:color w:val="2C2F34"/>
          <w:sz w:val="24"/>
          <w:szCs w:val="24"/>
          <w:lang w:eastAsia="fr-FR"/>
        </w:rPr>
      </w:pPr>
    </w:p>
    <w:p w14:paraId="2DC0153A" w14:textId="09FF5D5E" w:rsidR="00E02109" w:rsidRPr="00D85FA0" w:rsidRDefault="00CD47AF" w:rsidP="00234EAF">
      <w:pPr>
        <w:pStyle w:val="Titre3"/>
        <w:numPr>
          <w:ilvl w:val="0"/>
          <w:numId w:val="0"/>
        </w:numPr>
        <w:tabs>
          <w:tab w:val="left" w:pos="709"/>
        </w:tabs>
        <w:spacing w:before="200" w:line="360" w:lineRule="auto"/>
        <w:rPr>
          <w:rFonts w:ascii="Times New Roman" w:hAnsi="Times New Roman" w:cs="Times New Roman"/>
          <w:color w:val="auto"/>
          <w:sz w:val="24"/>
          <w:szCs w:val="24"/>
        </w:rPr>
      </w:pPr>
      <w:bookmarkStart w:id="1" w:name="_Toc210055768"/>
      <w:r w:rsidRPr="00D85FA0">
        <w:rPr>
          <w:rFonts w:ascii="Times New Roman" w:hAnsi="Times New Roman" w:cs="Times New Roman"/>
          <w:color w:val="auto"/>
          <w:sz w:val="24"/>
          <w:szCs w:val="24"/>
          <w:lang w:eastAsia="fr-FR"/>
        </w:rPr>
        <w:t>III.</w:t>
      </w:r>
      <w:r>
        <w:rPr>
          <w:rFonts w:ascii="Times New Roman" w:hAnsi="Times New Roman" w:cs="Times New Roman"/>
          <w:color w:val="auto"/>
          <w:sz w:val="24"/>
          <w:szCs w:val="24"/>
          <w:lang w:eastAsia="fr-FR"/>
        </w:rPr>
        <w:t xml:space="preserve">1    </w:t>
      </w:r>
      <w:r w:rsidRPr="00D85FA0">
        <w:rPr>
          <w:rFonts w:ascii="Times New Roman" w:hAnsi="Times New Roman" w:cs="Times New Roman"/>
          <w:color w:val="auto"/>
          <w:sz w:val="24"/>
          <w:szCs w:val="24"/>
          <w:lang w:eastAsia="fr-FR"/>
        </w:rPr>
        <w:t xml:space="preserve"> </w:t>
      </w:r>
      <w:r>
        <w:rPr>
          <w:rFonts w:ascii="Times New Roman" w:hAnsi="Times New Roman" w:cs="Times New Roman"/>
          <w:color w:val="auto"/>
          <w:sz w:val="24"/>
          <w:szCs w:val="24"/>
          <w:lang w:eastAsia="fr-FR"/>
        </w:rPr>
        <w:t>PRODUCTION</w:t>
      </w:r>
      <w:r w:rsidR="00E02109" w:rsidRPr="00D85FA0">
        <w:rPr>
          <w:rFonts w:ascii="Times New Roman" w:hAnsi="Times New Roman" w:cs="Times New Roman"/>
          <w:color w:val="auto"/>
          <w:sz w:val="24"/>
          <w:szCs w:val="24"/>
        </w:rPr>
        <w:t xml:space="preserve"> ET EXPORTATION</w:t>
      </w:r>
      <w:bookmarkEnd w:id="1"/>
      <w:r w:rsidR="008A385A">
        <w:rPr>
          <w:rFonts w:ascii="Times New Roman" w:hAnsi="Times New Roman" w:cs="Times New Roman"/>
          <w:color w:val="auto"/>
          <w:sz w:val="24"/>
          <w:szCs w:val="24"/>
        </w:rPr>
        <w:t xml:space="preserve"> DU SECTEUR EXTRACTIF EN 2023</w:t>
      </w:r>
    </w:p>
    <w:p w14:paraId="3CFB264A" w14:textId="77777777" w:rsidR="00E02109" w:rsidRPr="00D85FA0" w:rsidRDefault="00E02109" w:rsidP="00234EAF">
      <w:pPr>
        <w:pStyle w:val="Paragraphedeliste"/>
        <w:numPr>
          <w:ilvl w:val="0"/>
          <w:numId w:val="9"/>
        </w:numPr>
        <w:autoSpaceDE w:val="0"/>
        <w:autoSpaceDN w:val="0"/>
        <w:adjustRightInd w:val="0"/>
        <w:spacing w:before="240" w:after="120" w:line="360" w:lineRule="auto"/>
        <w:ind w:left="714" w:hanging="357"/>
        <w:jc w:val="both"/>
        <w:rPr>
          <w:rFonts w:ascii="Times New Roman" w:hAnsi="Times New Roman" w:cs="Times New Roman"/>
          <w:b/>
          <w:bCs/>
          <w:sz w:val="24"/>
          <w:szCs w:val="24"/>
        </w:rPr>
      </w:pPr>
      <w:r w:rsidRPr="00D85FA0">
        <w:rPr>
          <w:rFonts w:ascii="Times New Roman" w:hAnsi="Times New Roman" w:cs="Times New Roman"/>
          <w:b/>
          <w:bCs/>
          <w:sz w:val="24"/>
          <w:szCs w:val="24"/>
        </w:rPr>
        <w:t>Secteur des hydrocarbures</w:t>
      </w:r>
    </w:p>
    <w:p w14:paraId="09F8C505" w14:textId="77777777" w:rsidR="00E02109" w:rsidRPr="00D85FA0" w:rsidRDefault="00E02109" w:rsidP="00234EAF">
      <w:pPr>
        <w:spacing w:after="120" w:line="360" w:lineRule="auto"/>
        <w:ind w:firstLine="357"/>
        <w:jc w:val="both"/>
        <w:rPr>
          <w:rFonts w:ascii="Times New Roman" w:hAnsi="Times New Roman" w:cs="Times New Roman"/>
          <w:sz w:val="24"/>
          <w:szCs w:val="24"/>
        </w:rPr>
      </w:pPr>
      <w:r w:rsidRPr="00D85FA0">
        <w:rPr>
          <w:rFonts w:ascii="Times New Roman" w:hAnsi="Times New Roman" w:cs="Times New Roman"/>
          <w:sz w:val="24"/>
          <w:szCs w:val="24"/>
        </w:rPr>
        <w:t xml:space="preserve">En 2023, la production du secteur des hydrocarbures est estimée à </w:t>
      </w:r>
      <w:r w:rsidRPr="00D85FA0">
        <w:rPr>
          <w:rFonts w:ascii="Times New Roman" w:hAnsi="Times New Roman" w:cs="Times New Roman"/>
          <w:b/>
          <w:bCs/>
          <w:sz w:val="24"/>
          <w:szCs w:val="24"/>
        </w:rPr>
        <w:t>1 410,6 milliards FCFA</w:t>
      </w:r>
      <w:r w:rsidRPr="00D85FA0">
        <w:rPr>
          <w:rFonts w:ascii="Times New Roman" w:hAnsi="Times New Roman" w:cs="Times New Roman"/>
          <w:sz w:val="24"/>
          <w:szCs w:val="24"/>
        </w:rPr>
        <w:t xml:space="preserve">, pour des </w:t>
      </w:r>
      <w:r w:rsidRPr="00D85FA0">
        <w:rPr>
          <w:rFonts w:ascii="Times New Roman" w:hAnsi="Times New Roman" w:cs="Times New Roman"/>
          <w:b/>
          <w:bCs/>
          <w:sz w:val="24"/>
          <w:szCs w:val="24"/>
        </w:rPr>
        <w:t>exportations de 1 459,1 milliards FCFA</w:t>
      </w:r>
      <w:r w:rsidRPr="00D85FA0">
        <w:rPr>
          <w:rFonts w:ascii="Times New Roman" w:hAnsi="Times New Roman" w:cs="Times New Roman"/>
          <w:sz w:val="24"/>
          <w:szCs w:val="24"/>
        </w:rPr>
        <w:t xml:space="preserve">. Le </w:t>
      </w:r>
      <w:r w:rsidRPr="00D85FA0">
        <w:rPr>
          <w:rFonts w:ascii="Times New Roman" w:hAnsi="Times New Roman" w:cs="Times New Roman"/>
          <w:b/>
          <w:bCs/>
          <w:sz w:val="24"/>
          <w:szCs w:val="24"/>
        </w:rPr>
        <w:t>pétrole brut</w:t>
      </w:r>
      <w:r w:rsidRPr="00D85FA0">
        <w:rPr>
          <w:rFonts w:ascii="Times New Roman" w:hAnsi="Times New Roman" w:cs="Times New Roman"/>
          <w:sz w:val="24"/>
          <w:szCs w:val="24"/>
        </w:rPr>
        <w:t xml:space="preserve"> reste la principale ressource (22,9 millions de barils, 1 117,9 milliards FCFA), suivi du </w:t>
      </w:r>
      <w:r w:rsidRPr="00D85FA0">
        <w:rPr>
          <w:rFonts w:ascii="Times New Roman" w:hAnsi="Times New Roman" w:cs="Times New Roman"/>
          <w:b/>
          <w:bCs/>
          <w:sz w:val="24"/>
          <w:szCs w:val="24"/>
        </w:rPr>
        <w:t>gaz naturel</w:t>
      </w:r>
      <w:r w:rsidRPr="00D85FA0">
        <w:rPr>
          <w:rFonts w:ascii="Times New Roman" w:hAnsi="Times New Roman" w:cs="Times New Roman"/>
          <w:sz w:val="24"/>
          <w:szCs w:val="24"/>
        </w:rPr>
        <w:t xml:space="preserve">. Le </w:t>
      </w:r>
      <w:r w:rsidRPr="00D85FA0">
        <w:rPr>
          <w:rFonts w:ascii="Times New Roman" w:hAnsi="Times New Roman" w:cs="Times New Roman"/>
          <w:b/>
          <w:bCs/>
          <w:sz w:val="24"/>
          <w:szCs w:val="24"/>
        </w:rPr>
        <w:t>condensat</w:t>
      </w:r>
      <w:r w:rsidRPr="00D85FA0">
        <w:rPr>
          <w:rFonts w:ascii="Times New Roman" w:hAnsi="Times New Roman" w:cs="Times New Roman"/>
          <w:sz w:val="24"/>
          <w:szCs w:val="24"/>
        </w:rPr>
        <w:t xml:space="preserve"> et le </w:t>
      </w:r>
      <w:r w:rsidRPr="00D85FA0">
        <w:rPr>
          <w:rFonts w:ascii="Times New Roman" w:hAnsi="Times New Roman" w:cs="Times New Roman"/>
          <w:b/>
          <w:bCs/>
          <w:sz w:val="24"/>
          <w:szCs w:val="24"/>
        </w:rPr>
        <w:t>GPL</w:t>
      </w:r>
      <w:r w:rsidRPr="00D85FA0">
        <w:rPr>
          <w:rFonts w:ascii="Times New Roman" w:hAnsi="Times New Roman" w:cs="Times New Roman"/>
          <w:sz w:val="24"/>
          <w:szCs w:val="24"/>
        </w:rPr>
        <w:t xml:space="preserve"> apportent des contributions plus modestes.</w:t>
      </w:r>
    </w:p>
    <w:p w14:paraId="0ACB8D3B" w14:textId="77777777" w:rsidR="00F802CF" w:rsidRDefault="00F802CF" w:rsidP="002601DF">
      <w:pPr>
        <w:spacing w:before="120" w:after="200" w:line="276" w:lineRule="auto"/>
        <w:jc w:val="both"/>
        <w:rPr>
          <w:rFonts w:ascii="Times New Roman" w:hAnsi="Times New Roman" w:cs="Times New Roman"/>
          <w:sz w:val="24"/>
          <w:szCs w:val="24"/>
        </w:rPr>
      </w:pPr>
    </w:p>
    <w:p w14:paraId="2E1CE1A6" w14:textId="77777777" w:rsidR="00234EAF" w:rsidRPr="00D85FA0" w:rsidRDefault="00234EAF" w:rsidP="002601DF">
      <w:pPr>
        <w:spacing w:before="120" w:after="200" w:line="276" w:lineRule="auto"/>
        <w:jc w:val="both"/>
        <w:rPr>
          <w:rFonts w:ascii="Times New Roman" w:hAnsi="Times New Roman" w:cs="Times New Roman"/>
          <w:sz w:val="24"/>
          <w:szCs w:val="24"/>
        </w:rPr>
      </w:pPr>
    </w:p>
    <w:p w14:paraId="41D42A29" w14:textId="77777777" w:rsidR="00E02109" w:rsidRPr="00D85FA0" w:rsidRDefault="00E02109" w:rsidP="002601DF">
      <w:pPr>
        <w:pStyle w:val="Paragraphedeliste"/>
        <w:numPr>
          <w:ilvl w:val="0"/>
          <w:numId w:val="9"/>
        </w:numPr>
        <w:autoSpaceDE w:val="0"/>
        <w:autoSpaceDN w:val="0"/>
        <w:adjustRightInd w:val="0"/>
        <w:spacing w:before="120" w:after="120" w:line="276" w:lineRule="auto"/>
        <w:ind w:left="714" w:hanging="357"/>
        <w:contextualSpacing w:val="0"/>
        <w:jc w:val="both"/>
        <w:rPr>
          <w:rFonts w:ascii="Times New Roman" w:hAnsi="Times New Roman" w:cs="Times New Roman"/>
          <w:b/>
          <w:bCs/>
          <w:sz w:val="24"/>
          <w:szCs w:val="24"/>
        </w:rPr>
      </w:pPr>
      <w:r w:rsidRPr="00D85FA0">
        <w:rPr>
          <w:rFonts w:ascii="Times New Roman" w:hAnsi="Times New Roman" w:cs="Times New Roman"/>
          <w:b/>
          <w:bCs/>
          <w:sz w:val="24"/>
          <w:szCs w:val="24"/>
        </w:rPr>
        <w:lastRenderedPageBreak/>
        <w:t>Secteur des mines et carrières</w:t>
      </w:r>
    </w:p>
    <w:p w14:paraId="5281157D" w14:textId="27350929" w:rsidR="008A385A" w:rsidRDefault="00E02109" w:rsidP="00234EAF">
      <w:pPr>
        <w:spacing w:after="120" w:line="360" w:lineRule="auto"/>
        <w:jc w:val="both"/>
        <w:rPr>
          <w:rFonts w:ascii="Times New Roman" w:hAnsi="Times New Roman" w:cs="Times New Roman"/>
          <w:sz w:val="24"/>
          <w:szCs w:val="24"/>
        </w:rPr>
      </w:pPr>
      <w:r w:rsidRPr="00D85FA0">
        <w:rPr>
          <w:rFonts w:ascii="Times New Roman" w:hAnsi="Times New Roman" w:cs="Times New Roman"/>
          <w:sz w:val="24"/>
          <w:szCs w:val="24"/>
        </w:rPr>
        <w:t xml:space="preserve">En 2023, le secteur minier a eu une </w:t>
      </w:r>
      <w:r w:rsidRPr="00D85FA0">
        <w:rPr>
          <w:rFonts w:ascii="Times New Roman" w:hAnsi="Times New Roman" w:cs="Times New Roman"/>
          <w:b/>
          <w:bCs/>
          <w:sz w:val="24"/>
          <w:szCs w:val="24"/>
        </w:rPr>
        <w:t>contribution marginale</w:t>
      </w:r>
      <w:r w:rsidRPr="00D85FA0">
        <w:rPr>
          <w:rFonts w:ascii="Times New Roman" w:hAnsi="Times New Roman" w:cs="Times New Roman"/>
          <w:sz w:val="24"/>
          <w:szCs w:val="24"/>
        </w:rPr>
        <w:t xml:space="preserve"> aux exportations, dominé par l’artisanat et l’absence de projets industriels en production. La production déclarée se limite à </w:t>
      </w:r>
      <w:r w:rsidRPr="00D85FA0">
        <w:rPr>
          <w:rFonts w:ascii="Times New Roman" w:hAnsi="Times New Roman" w:cs="Times New Roman"/>
          <w:b/>
          <w:bCs/>
          <w:sz w:val="24"/>
          <w:szCs w:val="24"/>
        </w:rPr>
        <w:t>953 kg d’or (dont seulement 22 kg exportés)</w:t>
      </w:r>
      <w:r w:rsidRPr="00D85FA0">
        <w:rPr>
          <w:rFonts w:ascii="Times New Roman" w:hAnsi="Times New Roman" w:cs="Times New Roman"/>
          <w:sz w:val="24"/>
          <w:szCs w:val="24"/>
        </w:rPr>
        <w:t xml:space="preserve"> et </w:t>
      </w:r>
      <w:r w:rsidRPr="00D85FA0">
        <w:rPr>
          <w:rFonts w:ascii="Times New Roman" w:hAnsi="Times New Roman" w:cs="Times New Roman"/>
          <w:b/>
          <w:bCs/>
          <w:sz w:val="24"/>
          <w:szCs w:val="24"/>
        </w:rPr>
        <w:t>3 306 carats de diamant</w:t>
      </w:r>
      <w:r w:rsidRPr="00D85FA0">
        <w:rPr>
          <w:rFonts w:ascii="Times New Roman" w:hAnsi="Times New Roman" w:cs="Times New Roman"/>
          <w:sz w:val="24"/>
          <w:szCs w:val="24"/>
        </w:rPr>
        <w:t>, tandis que les matériaux de construction (argile, calcaire, pouzzolane, sable, granulats, latérites) alimentent surtout le marché intérieur.</w:t>
      </w:r>
      <w:r w:rsidR="008A385A" w:rsidRPr="008A385A">
        <w:rPr>
          <w:rFonts w:ascii="Times New Roman" w:hAnsi="Times New Roman" w:cs="Times New Roman"/>
          <w:sz w:val="24"/>
          <w:szCs w:val="24"/>
        </w:rPr>
        <w:t xml:space="preserve"> </w:t>
      </w:r>
    </w:p>
    <w:p w14:paraId="2EF52B31" w14:textId="77777777" w:rsidR="00234EAF" w:rsidRDefault="00234EAF" w:rsidP="00234EAF">
      <w:pPr>
        <w:spacing w:after="120" w:line="276" w:lineRule="auto"/>
        <w:jc w:val="both"/>
        <w:rPr>
          <w:rFonts w:ascii="Times New Roman" w:hAnsi="Times New Roman" w:cs="Times New Roman"/>
          <w:sz w:val="24"/>
          <w:szCs w:val="24"/>
        </w:rPr>
      </w:pPr>
    </w:p>
    <w:p w14:paraId="56AF346D" w14:textId="77777777" w:rsidR="00234EAF" w:rsidRDefault="00234EAF" w:rsidP="00234EAF">
      <w:pPr>
        <w:spacing w:after="120" w:line="276" w:lineRule="auto"/>
        <w:jc w:val="both"/>
        <w:rPr>
          <w:rFonts w:ascii="Times New Roman" w:hAnsi="Times New Roman" w:cs="Times New Roman"/>
          <w:sz w:val="24"/>
          <w:szCs w:val="24"/>
        </w:rPr>
      </w:pPr>
    </w:p>
    <w:p w14:paraId="1A7B244C" w14:textId="77777777" w:rsidR="00234EAF" w:rsidRDefault="00234EAF" w:rsidP="00234EAF">
      <w:pPr>
        <w:spacing w:after="120" w:line="276" w:lineRule="auto"/>
        <w:jc w:val="both"/>
        <w:rPr>
          <w:rFonts w:ascii="Times New Roman" w:hAnsi="Times New Roman" w:cs="Times New Roman"/>
          <w:sz w:val="24"/>
          <w:szCs w:val="24"/>
        </w:rPr>
      </w:pPr>
    </w:p>
    <w:p w14:paraId="012C4444" w14:textId="77777777" w:rsidR="00234EAF" w:rsidRDefault="00234EAF" w:rsidP="00234EAF">
      <w:pPr>
        <w:spacing w:after="120" w:line="276" w:lineRule="auto"/>
        <w:jc w:val="both"/>
        <w:rPr>
          <w:rFonts w:ascii="Times New Roman" w:hAnsi="Times New Roman" w:cs="Times New Roman"/>
          <w:sz w:val="24"/>
          <w:szCs w:val="24"/>
        </w:rPr>
      </w:pPr>
    </w:p>
    <w:p w14:paraId="1A439137" w14:textId="77777777" w:rsidR="00234EAF" w:rsidRDefault="00234EAF" w:rsidP="00234EAF">
      <w:pPr>
        <w:spacing w:after="120" w:line="276" w:lineRule="auto"/>
        <w:jc w:val="both"/>
        <w:rPr>
          <w:rFonts w:ascii="Times New Roman" w:hAnsi="Times New Roman" w:cs="Times New Roman"/>
          <w:sz w:val="24"/>
          <w:szCs w:val="24"/>
        </w:rPr>
      </w:pPr>
    </w:p>
    <w:p w14:paraId="2D269A6A" w14:textId="77777777" w:rsidR="00234EAF" w:rsidRDefault="00234EAF" w:rsidP="00234EAF">
      <w:pPr>
        <w:spacing w:after="120" w:line="276" w:lineRule="auto"/>
        <w:jc w:val="both"/>
        <w:rPr>
          <w:rFonts w:ascii="Times New Roman" w:hAnsi="Times New Roman" w:cs="Times New Roman"/>
          <w:sz w:val="24"/>
          <w:szCs w:val="24"/>
        </w:rPr>
      </w:pPr>
    </w:p>
    <w:p w14:paraId="3CFE92A9" w14:textId="77777777" w:rsidR="00234EAF" w:rsidRDefault="00234EAF" w:rsidP="00234EAF">
      <w:pPr>
        <w:spacing w:after="120" w:line="276" w:lineRule="auto"/>
        <w:jc w:val="both"/>
        <w:rPr>
          <w:rFonts w:ascii="Times New Roman" w:hAnsi="Times New Roman" w:cs="Times New Roman"/>
          <w:sz w:val="24"/>
          <w:szCs w:val="24"/>
        </w:rPr>
      </w:pPr>
    </w:p>
    <w:p w14:paraId="0D4D3DCB" w14:textId="77777777" w:rsidR="00234EAF" w:rsidRDefault="00234EAF" w:rsidP="00234EAF">
      <w:pPr>
        <w:spacing w:after="120" w:line="276" w:lineRule="auto"/>
        <w:jc w:val="both"/>
        <w:rPr>
          <w:rFonts w:ascii="Times New Roman" w:hAnsi="Times New Roman" w:cs="Times New Roman"/>
          <w:sz w:val="24"/>
          <w:szCs w:val="24"/>
        </w:rPr>
      </w:pPr>
    </w:p>
    <w:p w14:paraId="67484F30" w14:textId="77777777" w:rsidR="00234EAF" w:rsidRDefault="00234EAF" w:rsidP="00234EAF">
      <w:pPr>
        <w:spacing w:after="120" w:line="276" w:lineRule="auto"/>
        <w:jc w:val="both"/>
        <w:rPr>
          <w:rFonts w:ascii="Times New Roman" w:hAnsi="Times New Roman" w:cs="Times New Roman"/>
          <w:sz w:val="24"/>
          <w:szCs w:val="24"/>
        </w:rPr>
      </w:pPr>
    </w:p>
    <w:p w14:paraId="5C12D85A" w14:textId="77777777" w:rsidR="00234EAF" w:rsidRDefault="00234EAF" w:rsidP="00234EAF">
      <w:pPr>
        <w:spacing w:after="120" w:line="276" w:lineRule="auto"/>
        <w:jc w:val="both"/>
        <w:rPr>
          <w:rFonts w:ascii="Times New Roman" w:hAnsi="Times New Roman" w:cs="Times New Roman"/>
          <w:sz w:val="24"/>
          <w:szCs w:val="24"/>
        </w:rPr>
      </w:pPr>
    </w:p>
    <w:p w14:paraId="5A02CE75" w14:textId="77777777" w:rsidR="00234EAF" w:rsidRDefault="00234EAF" w:rsidP="00234EAF">
      <w:pPr>
        <w:spacing w:after="120" w:line="276" w:lineRule="auto"/>
        <w:jc w:val="both"/>
        <w:rPr>
          <w:rFonts w:ascii="Times New Roman" w:hAnsi="Times New Roman" w:cs="Times New Roman"/>
          <w:sz w:val="24"/>
          <w:szCs w:val="24"/>
        </w:rPr>
      </w:pPr>
    </w:p>
    <w:p w14:paraId="38B74F92" w14:textId="77777777" w:rsidR="00234EAF" w:rsidRDefault="00234EAF" w:rsidP="00234EAF">
      <w:pPr>
        <w:spacing w:after="120" w:line="276" w:lineRule="auto"/>
        <w:jc w:val="both"/>
        <w:rPr>
          <w:rFonts w:ascii="Times New Roman" w:hAnsi="Times New Roman" w:cs="Times New Roman"/>
          <w:sz w:val="24"/>
          <w:szCs w:val="24"/>
        </w:rPr>
      </w:pPr>
    </w:p>
    <w:p w14:paraId="6B74718C" w14:textId="77777777" w:rsidR="00234EAF" w:rsidRDefault="00234EAF" w:rsidP="00234EAF">
      <w:pPr>
        <w:spacing w:after="120" w:line="276" w:lineRule="auto"/>
        <w:jc w:val="both"/>
        <w:rPr>
          <w:rFonts w:ascii="Times New Roman" w:hAnsi="Times New Roman" w:cs="Times New Roman"/>
          <w:sz w:val="24"/>
          <w:szCs w:val="24"/>
        </w:rPr>
      </w:pPr>
    </w:p>
    <w:p w14:paraId="6D34FC12" w14:textId="77777777" w:rsidR="00234EAF" w:rsidRDefault="00234EAF" w:rsidP="00234EAF">
      <w:pPr>
        <w:spacing w:after="120" w:line="276" w:lineRule="auto"/>
        <w:jc w:val="both"/>
        <w:rPr>
          <w:rFonts w:ascii="Times New Roman" w:hAnsi="Times New Roman" w:cs="Times New Roman"/>
          <w:sz w:val="24"/>
          <w:szCs w:val="24"/>
        </w:rPr>
      </w:pPr>
    </w:p>
    <w:p w14:paraId="24B73441" w14:textId="77777777" w:rsidR="00234EAF" w:rsidRDefault="00234EAF" w:rsidP="00234EAF">
      <w:pPr>
        <w:spacing w:after="120" w:line="276" w:lineRule="auto"/>
        <w:jc w:val="both"/>
        <w:rPr>
          <w:rFonts w:ascii="Times New Roman" w:hAnsi="Times New Roman" w:cs="Times New Roman"/>
          <w:sz w:val="24"/>
          <w:szCs w:val="24"/>
        </w:rPr>
      </w:pPr>
    </w:p>
    <w:p w14:paraId="235C62E1" w14:textId="77777777" w:rsidR="00234EAF" w:rsidRDefault="00234EAF" w:rsidP="00234EAF">
      <w:pPr>
        <w:spacing w:after="120" w:line="276" w:lineRule="auto"/>
        <w:jc w:val="both"/>
        <w:rPr>
          <w:rFonts w:ascii="Times New Roman" w:hAnsi="Times New Roman" w:cs="Times New Roman"/>
          <w:sz w:val="24"/>
          <w:szCs w:val="24"/>
        </w:rPr>
      </w:pPr>
    </w:p>
    <w:p w14:paraId="2A4A0D3C" w14:textId="77777777" w:rsidR="00234EAF" w:rsidRDefault="00234EAF" w:rsidP="00234EAF">
      <w:pPr>
        <w:spacing w:after="120" w:line="276" w:lineRule="auto"/>
        <w:jc w:val="both"/>
        <w:rPr>
          <w:rFonts w:ascii="Times New Roman" w:hAnsi="Times New Roman" w:cs="Times New Roman"/>
          <w:sz w:val="24"/>
          <w:szCs w:val="24"/>
        </w:rPr>
      </w:pPr>
    </w:p>
    <w:p w14:paraId="75EA72D0" w14:textId="77777777" w:rsidR="00234EAF" w:rsidRDefault="00234EAF" w:rsidP="00234EAF">
      <w:pPr>
        <w:spacing w:after="120" w:line="276" w:lineRule="auto"/>
        <w:jc w:val="both"/>
        <w:rPr>
          <w:rFonts w:ascii="Times New Roman" w:hAnsi="Times New Roman" w:cs="Times New Roman"/>
          <w:sz w:val="24"/>
          <w:szCs w:val="24"/>
        </w:rPr>
      </w:pPr>
    </w:p>
    <w:p w14:paraId="3E43825C" w14:textId="77777777" w:rsidR="00234EAF" w:rsidRDefault="00234EAF" w:rsidP="00234EAF">
      <w:pPr>
        <w:spacing w:after="120" w:line="276" w:lineRule="auto"/>
        <w:jc w:val="both"/>
        <w:rPr>
          <w:rFonts w:ascii="Times New Roman" w:hAnsi="Times New Roman" w:cs="Times New Roman"/>
          <w:sz w:val="24"/>
          <w:szCs w:val="24"/>
        </w:rPr>
      </w:pPr>
    </w:p>
    <w:p w14:paraId="3EECD35F" w14:textId="77777777" w:rsidR="00234EAF" w:rsidRDefault="00234EAF" w:rsidP="00234EAF">
      <w:pPr>
        <w:spacing w:after="120" w:line="276" w:lineRule="auto"/>
        <w:jc w:val="both"/>
        <w:rPr>
          <w:rFonts w:ascii="Times New Roman" w:hAnsi="Times New Roman" w:cs="Times New Roman"/>
          <w:sz w:val="24"/>
          <w:szCs w:val="24"/>
        </w:rPr>
      </w:pPr>
    </w:p>
    <w:p w14:paraId="1E75B616" w14:textId="77777777" w:rsidR="00234EAF" w:rsidRDefault="00234EAF" w:rsidP="00234EAF">
      <w:pPr>
        <w:spacing w:after="120" w:line="276" w:lineRule="auto"/>
        <w:jc w:val="both"/>
        <w:rPr>
          <w:rFonts w:ascii="Times New Roman" w:hAnsi="Times New Roman" w:cs="Times New Roman"/>
          <w:sz w:val="24"/>
          <w:szCs w:val="24"/>
        </w:rPr>
      </w:pPr>
    </w:p>
    <w:p w14:paraId="24D723EA" w14:textId="77777777" w:rsidR="00234EAF" w:rsidRDefault="00234EAF" w:rsidP="00234EAF">
      <w:pPr>
        <w:spacing w:after="120" w:line="276" w:lineRule="auto"/>
        <w:jc w:val="both"/>
        <w:rPr>
          <w:rFonts w:ascii="Times New Roman" w:hAnsi="Times New Roman" w:cs="Times New Roman"/>
          <w:sz w:val="24"/>
          <w:szCs w:val="24"/>
        </w:rPr>
      </w:pPr>
    </w:p>
    <w:p w14:paraId="6C898B24" w14:textId="77777777" w:rsidR="00234EAF" w:rsidRDefault="00234EAF" w:rsidP="00234EAF">
      <w:pPr>
        <w:spacing w:after="120" w:line="276" w:lineRule="auto"/>
        <w:jc w:val="both"/>
        <w:rPr>
          <w:rFonts w:ascii="Times New Roman" w:hAnsi="Times New Roman" w:cs="Times New Roman"/>
          <w:sz w:val="24"/>
          <w:szCs w:val="24"/>
        </w:rPr>
      </w:pPr>
    </w:p>
    <w:p w14:paraId="73ABDAB0" w14:textId="77777777" w:rsidR="00234EAF" w:rsidRDefault="00234EAF" w:rsidP="00234EAF">
      <w:pPr>
        <w:spacing w:after="120" w:line="276" w:lineRule="auto"/>
        <w:jc w:val="both"/>
        <w:rPr>
          <w:rFonts w:ascii="Times New Roman" w:hAnsi="Times New Roman" w:cs="Times New Roman"/>
          <w:sz w:val="24"/>
          <w:szCs w:val="24"/>
        </w:rPr>
      </w:pPr>
    </w:p>
    <w:p w14:paraId="53AAA4E2" w14:textId="77777777" w:rsidR="00234EAF" w:rsidRPr="00234EAF" w:rsidRDefault="00234EAF" w:rsidP="00234EAF">
      <w:pPr>
        <w:spacing w:after="120" w:line="276" w:lineRule="auto"/>
        <w:jc w:val="both"/>
        <w:rPr>
          <w:rFonts w:ascii="Times New Roman" w:hAnsi="Times New Roman" w:cs="Times New Roman"/>
          <w:sz w:val="24"/>
          <w:szCs w:val="24"/>
        </w:rPr>
      </w:pPr>
    </w:p>
    <w:p w14:paraId="14A0CCF8" w14:textId="055416F2" w:rsidR="00EA7DD6" w:rsidRDefault="00EA7DD6" w:rsidP="00234EAF">
      <w:pPr>
        <w:pStyle w:val="Paragraphedeliste"/>
        <w:numPr>
          <w:ilvl w:val="0"/>
          <w:numId w:val="12"/>
        </w:numPr>
        <w:spacing w:line="276" w:lineRule="auto"/>
        <w:ind w:left="0" w:firstLine="0"/>
        <w:jc w:val="center"/>
        <w:rPr>
          <w:rFonts w:ascii="Times New Roman" w:hAnsi="Times New Roman" w:cs="Times New Roman"/>
          <w:b/>
          <w:bCs/>
          <w:sz w:val="28"/>
          <w:szCs w:val="24"/>
        </w:rPr>
      </w:pPr>
      <w:r w:rsidRPr="00234EAF">
        <w:rPr>
          <w:rFonts w:ascii="Times New Roman" w:hAnsi="Times New Roman" w:cs="Times New Roman"/>
          <w:b/>
          <w:bCs/>
          <w:sz w:val="28"/>
          <w:szCs w:val="24"/>
        </w:rPr>
        <w:lastRenderedPageBreak/>
        <w:t>GRANDS PROJETS MINIERS</w:t>
      </w:r>
      <w:r w:rsidR="00F52802" w:rsidRPr="00234EAF">
        <w:rPr>
          <w:rFonts w:ascii="Times New Roman" w:hAnsi="Times New Roman" w:cs="Times New Roman"/>
          <w:b/>
          <w:bCs/>
          <w:sz w:val="28"/>
          <w:szCs w:val="24"/>
        </w:rPr>
        <w:t xml:space="preserve"> ET LEUR IMPACT SUR L’ECONOMIE NATIONALE</w:t>
      </w:r>
    </w:p>
    <w:p w14:paraId="0600ECC7" w14:textId="77777777" w:rsidR="00234EAF" w:rsidRPr="00234EAF" w:rsidRDefault="00234EAF" w:rsidP="00234EAF">
      <w:pPr>
        <w:pStyle w:val="Paragraphedeliste"/>
        <w:spacing w:line="276" w:lineRule="auto"/>
        <w:ind w:left="0"/>
        <w:rPr>
          <w:rFonts w:ascii="Times New Roman" w:hAnsi="Times New Roman" w:cs="Times New Roman"/>
          <w:b/>
          <w:bCs/>
          <w:sz w:val="28"/>
          <w:szCs w:val="24"/>
        </w:rPr>
      </w:pPr>
    </w:p>
    <w:p w14:paraId="00835BAC" w14:textId="30429759" w:rsidR="00DC200B" w:rsidRPr="00234EAF" w:rsidRDefault="00CD47AF" w:rsidP="00234EAF">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w:t>
      </w:r>
      <w:r w:rsidR="00DC200B">
        <w:rPr>
          <w:rFonts w:ascii="Times New Roman" w:hAnsi="Times New Roman" w:cs="Times New Roman"/>
          <w:b/>
          <w:bCs/>
          <w:sz w:val="24"/>
          <w:szCs w:val="24"/>
        </w:rPr>
        <w:t xml:space="preserve">V.1 </w:t>
      </w:r>
      <w:r>
        <w:rPr>
          <w:rFonts w:ascii="Times New Roman" w:hAnsi="Times New Roman" w:cs="Times New Roman"/>
          <w:b/>
          <w:bCs/>
          <w:sz w:val="24"/>
          <w:szCs w:val="24"/>
        </w:rPr>
        <w:t xml:space="preserve">          </w:t>
      </w:r>
      <w:r w:rsidR="00DC200B" w:rsidRPr="00DC200B">
        <w:rPr>
          <w:rFonts w:ascii="Times New Roman" w:hAnsi="Times New Roman" w:cs="Times New Roman"/>
          <w:b/>
          <w:bCs/>
          <w:sz w:val="24"/>
          <w:szCs w:val="24"/>
        </w:rPr>
        <w:t>QUELQUES GRANDS PROJETS MINIERS</w:t>
      </w:r>
    </w:p>
    <w:p w14:paraId="35389BCE" w14:textId="1F5E2B3A" w:rsidR="00EA7DD6" w:rsidRPr="00D85FA0" w:rsidRDefault="00EA7DD6" w:rsidP="00234EAF">
      <w:pPr>
        <w:spacing w:line="360" w:lineRule="auto"/>
        <w:ind w:right="-142" w:firstLine="360"/>
        <w:jc w:val="both"/>
        <w:rPr>
          <w:rFonts w:ascii="Times New Roman" w:hAnsi="Times New Roman" w:cs="Times New Roman"/>
          <w:sz w:val="24"/>
          <w:szCs w:val="24"/>
        </w:rPr>
      </w:pPr>
      <w:r w:rsidRPr="00D85FA0">
        <w:rPr>
          <w:rFonts w:ascii="Times New Roman" w:hAnsi="Times New Roman" w:cs="Times New Roman"/>
          <w:sz w:val="24"/>
          <w:szCs w:val="24"/>
        </w:rPr>
        <w:t>Le Cameroun a lancé plusieurs projets miniers majeurs pour dynamiser son économie</w:t>
      </w:r>
      <w:r w:rsidR="00355BF7">
        <w:rPr>
          <w:rFonts w:ascii="Times New Roman" w:hAnsi="Times New Roman" w:cs="Times New Roman"/>
          <w:sz w:val="24"/>
          <w:szCs w:val="24"/>
        </w:rPr>
        <w:t xml:space="preserve"> à savoir :</w:t>
      </w:r>
    </w:p>
    <w:p w14:paraId="017AC2C0" w14:textId="77777777" w:rsidR="00077FEC" w:rsidRDefault="00EA7DD6" w:rsidP="00234EAF">
      <w:pPr>
        <w:pStyle w:val="Paragraphedeliste"/>
        <w:numPr>
          <w:ilvl w:val="0"/>
          <w:numId w:val="11"/>
        </w:numPr>
        <w:spacing w:line="360" w:lineRule="auto"/>
        <w:jc w:val="both"/>
        <w:rPr>
          <w:rFonts w:ascii="Times New Roman" w:hAnsi="Times New Roman" w:cs="Times New Roman"/>
          <w:sz w:val="24"/>
          <w:szCs w:val="24"/>
        </w:rPr>
      </w:pPr>
      <w:r w:rsidRPr="00D85FA0">
        <w:rPr>
          <w:rFonts w:ascii="Times New Roman" w:hAnsi="Times New Roman" w:cs="Times New Roman"/>
          <w:sz w:val="24"/>
          <w:szCs w:val="24"/>
        </w:rPr>
        <w:t>L'exploitation de fer de </w:t>
      </w:r>
      <w:r w:rsidR="00A87F29">
        <w:rPr>
          <w:rFonts w:ascii="Times New Roman" w:hAnsi="Times New Roman" w:cs="Times New Roman"/>
          <w:sz w:val="24"/>
          <w:szCs w:val="24"/>
        </w:rPr>
        <w:t xml:space="preserve">Kribi-Lobé porté par la société </w:t>
      </w:r>
      <w:proofErr w:type="spellStart"/>
      <w:r w:rsidR="00A87F29">
        <w:rPr>
          <w:rFonts w:ascii="Times New Roman" w:hAnsi="Times New Roman" w:cs="Times New Roman"/>
          <w:sz w:val="24"/>
          <w:szCs w:val="24"/>
        </w:rPr>
        <w:t>Sinosteel</w:t>
      </w:r>
      <w:proofErr w:type="spellEnd"/>
      <w:r w:rsidR="00A87F29">
        <w:rPr>
          <w:rFonts w:ascii="Times New Roman" w:hAnsi="Times New Roman" w:cs="Times New Roman"/>
          <w:sz w:val="24"/>
          <w:szCs w:val="24"/>
        </w:rPr>
        <w:t xml:space="preserve"> avec des </w:t>
      </w:r>
      <w:r w:rsidR="00EA28B0">
        <w:rPr>
          <w:rFonts w:ascii="Times New Roman" w:hAnsi="Times New Roman" w:cs="Times New Roman"/>
          <w:sz w:val="24"/>
          <w:szCs w:val="24"/>
        </w:rPr>
        <w:t>réserves</w:t>
      </w:r>
      <w:r w:rsidR="00A87F29">
        <w:rPr>
          <w:rFonts w:ascii="Times New Roman" w:hAnsi="Times New Roman" w:cs="Times New Roman"/>
          <w:sz w:val="24"/>
          <w:szCs w:val="24"/>
        </w:rPr>
        <w:t xml:space="preserve"> de fer estimées à plus de 630 millions de tonnes de minerai (teneur moyenne 33%)</w:t>
      </w:r>
      <w:r w:rsidR="00E543B7">
        <w:rPr>
          <w:rFonts w:ascii="Times New Roman" w:hAnsi="Times New Roman" w:cs="Times New Roman"/>
          <w:sz w:val="24"/>
          <w:szCs w:val="24"/>
        </w:rPr>
        <w:t>, la phase pilote prévoit environ 04 millions de concentré de fer enrichi à plus de 60%. Le projet va générer plus de 1000</w:t>
      </w:r>
      <w:r w:rsidR="002A2DCC">
        <w:rPr>
          <w:rFonts w:ascii="Times New Roman" w:hAnsi="Times New Roman" w:cs="Times New Roman"/>
          <w:sz w:val="24"/>
          <w:szCs w:val="24"/>
        </w:rPr>
        <w:t xml:space="preserve"> </w:t>
      </w:r>
      <w:r w:rsidR="00E543B7">
        <w:rPr>
          <w:rFonts w:ascii="Times New Roman" w:hAnsi="Times New Roman" w:cs="Times New Roman"/>
          <w:sz w:val="24"/>
          <w:szCs w:val="24"/>
        </w:rPr>
        <w:t>emplois direct</w:t>
      </w:r>
      <w:r w:rsidR="002A2DCC">
        <w:rPr>
          <w:rFonts w:ascii="Times New Roman" w:hAnsi="Times New Roman" w:cs="Times New Roman"/>
          <w:sz w:val="24"/>
          <w:szCs w:val="24"/>
        </w:rPr>
        <w:t>s et</w:t>
      </w:r>
    </w:p>
    <w:p w14:paraId="57BDFF35" w14:textId="456CFEE0" w:rsidR="00EA7DD6" w:rsidRPr="00D85FA0" w:rsidRDefault="002A2DCC" w:rsidP="00234EAF">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5000 emplois indirects</w:t>
      </w:r>
      <w:r w:rsidR="00766F31">
        <w:rPr>
          <w:rFonts w:ascii="Times New Roman" w:hAnsi="Times New Roman" w:cs="Times New Roman"/>
          <w:sz w:val="24"/>
          <w:szCs w:val="24"/>
        </w:rPr>
        <w:t> ;</w:t>
      </w:r>
    </w:p>
    <w:p w14:paraId="2EF47822" w14:textId="47D7E6AF" w:rsidR="00EA7DD6" w:rsidRPr="00D85FA0" w:rsidRDefault="00EA7DD6" w:rsidP="00234EAF">
      <w:pPr>
        <w:pStyle w:val="Paragraphedeliste"/>
        <w:numPr>
          <w:ilvl w:val="0"/>
          <w:numId w:val="11"/>
        </w:numPr>
        <w:spacing w:line="360" w:lineRule="auto"/>
        <w:jc w:val="both"/>
        <w:rPr>
          <w:rFonts w:ascii="Times New Roman" w:hAnsi="Times New Roman" w:cs="Times New Roman"/>
          <w:sz w:val="24"/>
          <w:szCs w:val="24"/>
        </w:rPr>
      </w:pPr>
      <w:r w:rsidRPr="00D85FA0">
        <w:rPr>
          <w:rFonts w:ascii="Times New Roman" w:hAnsi="Times New Roman" w:cs="Times New Roman"/>
          <w:sz w:val="24"/>
          <w:szCs w:val="24"/>
        </w:rPr>
        <w:t>L'exploitation du fe</w:t>
      </w:r>
      <w:r w:rsidR="00F52802">
        <w:rPr>
          <w:rFonts w:ascii="Times New Roman" w:hAnsi="Times New Roman" w:cs="Times New Roman"/>
          <w:sz w:val="24"/>
          <w:szCs w:val="24"/>
        </w:rPr>
        <w:t xml:space="preserve">r </w:t>
      </w:r>
      <w:proofErr w:type="spellStart"/>
      <w:r w:rsidR="00F52802">
        <w:rPr>
          <w:rFonts w:ascii="Times New Roman" w:hAnsi="Times New Roman" w:cs="Times New Roman"/>
          <w:sz w:val="24"/>
          <w:szCs w:val="24"/>
        </w:rPr>
        <w:t>Bipindi</w:t>
      </w:r>
      <w:proofErr w:type="spellEnd"/>
      <w:r w:rsidR="00F52802">
        <w:rPr>
          <w:rFonts w:ascii="Times New Roman" w:hAnsi="Times New Roman" w:cs="Times New Roman"/>
          <w:sz w:val="24"/>
          <w:szCs w:val="24"/>
        </w:rPr>
        <w:t>-Grand</w:t>
      </w:r>
      <w:r w:rsidR="00134E67">
        <w:rPr>
          <w:rFonts w:ascii="Times New Roman" w:hAnsi="Times New Roman" w:cs="Times New Roman"/>
          <w:sz w:val="24"/>
          <w:szCs w:val="24"/>
        </w:rPr>
        <w:t xml:space="preserve"> </w:t>
      </w:r>
      <w:proofErr w:type="spellStart"/>
      <w:r w:rsidR="00F52802">
        <w:rPr>
          <w:rFonts w:ascii="Times New Roman" w:hAnsi="Times New Roman" w:cs="Times New Roman"/>
          <w:sz w:val="24"/>
          <w:szCs w:val="24"/>
        </w:rPr>
        <w:t>Zambi</w:t>
      </w:r>
      <w:proofErr w:type="spellEnd"/>
      <w:r w:rsidR="00E543B7">
        <w:rPr>
          <w:rFonts w:ascii="Times New Roman" w:hAnsi="Times New Roman" w:cs="Times New Roman"/>
          <w:sz w:val="24"/>
          <w:szCs w:val="24"/>
        </w:rPr>
        <w:t xml:space="preserve"> est piloté par la société G-Stones </w:t>
      </w:r>
      <w:proofErr w:type="spellStart"/>
      <w:r w:rsidR="00E543B7">
        <w:rPr>
          <w:rFonts w:ascii="Times New Roman" w:hAnsi="Times New Roman" w:cs="Times New Roman"/>
          <w:sz w:val="24"/>
          <w:szCs w:val="24"/>
        </w:rPr>
        <w:t>Resources</w:t>
      </w:r>
      <w:proofErr w:type="spellEnd"/>
      <w:r w:rsidRPr="00D85FA0">
        <w:rPr>
          <w:rFonts w:ascii="Times New Roman" w:hAnsi="Times New Roman" w:cs="Times New Roman"/>
          <w:sz w:val="24"/>
          <w:szCs w:val="24"/>
        </w:rPr>
        <w:t>, </w:t>
      </w:r>
      <w:r w:rsidR="00EA28B0">
        <w:rPr>
          <w:rFonts w:ascii="Times New Roman" w:hAnsi="Times New Roman" w:cs="Times New Roman"/>
          <w:sz w:val="24"/>
          <w:szCs w:val="24"/>
        </w:rPr>
        <w:t>évalu</w:t>
      </w:r>
      <w:r w:rsidRPr="00D85FA0">
        <w:rPr>
          <w:rFonts w:ascii="Times New Roman" w:hAnsi="Times New Roman" w:cs="Times New Roman"/>
          <w:sz w:val="24"/>
          <w:szCs w:val="24"/>
        </w:rPr>
        <w:t>é à </w:t>
      </w:r>
      <w:r w:rsidR="00EA28B0">
        <w:rPr>
          <w:rFonts w:ascii="Times New Roman" w:hAnsi="Times New Roman" w:cs="Times New Roman"/>
          <w:sz w:val="24"/>
          <w:szCs w:val="24"/>
        </w:rPr>
        <w:t xml:space="preserve">150 </w:t>
      </w:r>
      <w:r w:rsidRPr="00D85FA0">
        <w:rPr>
          <w:rFonts w:ascii="Times New Roman" w:hAnsi="Times New Roman" w:cs="Times New Roman"/>
          <w:sz w:val="24"/>
          <w:szCs w:val="24"/>
        </w:rPr>
        <w:t>millions de tonnes de fer</w:t>
      </w:r>
      <w:r w:rsidR="00EA28B0">
        <w:rPr>
          <w:rFonts w:ascii="Times New Roman" w:hAnsi="Times New Roman" w:cs="Times New Roman"/>
          <w:sz w:val="24"/>
          <w:szCs w:val="24"/>
        </w:rPr>
        <w:t xml:space="preserve"> et</w:t>
      </w:r>
      <w:r w:rsidR="002A2DCC">
        <w:rPr>
          <w:rFonts w:ascii="Times New Roman" w:hAnsi="Times New Roman" w:cs="Times New Roman"/>
          <w:sz w:val="24"/>
          <w:szCs w:val="24"/>
        </w:rPr>
        <w:t xml:space="preserve"> 1,2</w:t>
      </w:r>
      <w:r w:rsidR="00EA28B0">
        <w:rPr>
          <w:rFonts w:ascii="Times New Roman" w:hAnsi="Times New Roman" w:cs="Times New Roman"/>
          <w:sz w:val="24"/>
          <w:szCs w:val="24"/>
        </w:rPr>
        <w:t xml:space="preserve"> milliard de tonnes prévisionnel à teneur environ de 29% de fer en moyenne</w:t>
      </w:r>
      <w:r w:rsidR="00E543B7">
        <w:rPr>
          <w:rFonts w:ascii="Times New Roman" w:hAnsi="Times New Roman" w:cs="Times New Roman"/>
          <w:sz w:val="24"/>
          <w:szCs w:val="24"/>
        </w:rPr>
        <w:t xml:space="preserve">. Elle </w:t>
      </w:r>
      <w:r w:rsidR="002A2DCC">
        <w:rPr>
          <w:rFonts w:ascii="Times New Roman" w:hAnsi="Times New Roman" w:cs="Times New Roman"/>
          <w:sz w:val="24"/>
          <w:szCs w:val="24"/>
        </w:rPr>
        <w:t xml:space="preserve">prévoit dans son plan de </w:t>
      </w:r>
      <w:r w:rsidR="00134E67">
        <w:rPr>
          <w:rFonts w:ascii="Times New Roman" w:hAnsi="Times New Roman" w:cs="Times New Roman"/>
          <w:sz w:val="24"/>
          <w:szCs w:val="24"/>
        </w:rPr>
        <w:t>développement</w:t>
      </w:r>
      <w:r w:rsidR="00766F31">
        <w:rPr>
          <w:rFonts w:ascii="Times New Roman" w:hAnsi="Times New Roman" w:cs="Times New Roman"/>
          <w:sz w:val="24"/>
          <w:szCs w:val="24"/>
        </w:rPr>
        <w:t> ;</w:t>
      </w:r>
    </w:p>
    <w:p w14:paraId="7DCA2310" w14:textId="3AC05D1D" w:rsidR="00EA7DD6" w:rsidRPr="00766F31" w:rsidRDefault="00EA7DD6" w:rsidP="00234EAF">
      <w:pPr>
        <w:pStyle w:val="Paragraphedeliste"/>
        <w:numPr>
          <w:ilvl w:val="0"/>
          <w:numId w:val="11"/>
        </w:numPr>
        <w:spacing w:line="360" w:lineRule="auto"/>
        <w:jc w:val="both"/>
        <w:rPr>
          <w:rFonts w:ascii="Times New Roman" w:hAnsi="Times New Roman" w:cs="Times New Roman"/>
          <w:sz w:val="24"/>
          <w:szCs w:val="24"/>
        </w:rPr>
      </w:pPr>
      <w:r w:rsidRPr="00D85FA0">
        <w:rPr>
          <w:rFonts w:ascii="Times New Roman" w:hAnsi="Times New Roman" w:cs="Times New Roman"/>
          <w:sz w:val="24"/>
          <w:szCs w:val="24"/>
        </w:rPr>
        <w:t>L'exploitation du minerai de fer de </w:t>
      </w:r>
      <w:proofErr w:type="spellStart"/>
      <w:r w:rsidRPr="00D85FA0">
        <w:rPr>
          <w:rFonts w:ascii="Times New Roman" w:hAnsi="Times New Roman" w:cs="Times New Roman"/>
          <w:sz w:val="24"/>
          <w:szCs w:val="24"/>
        </w:rPr>
        <w:t>Mbalam</w:t>
      </w:r>
      <w:proofErr w:type="spellEnd"/>
      <w:r w:rsidR="00EA28B0">
        <w:rPr>
          <w:rFonts w:ascii="Times New Roman" w:hAnsi="Times New Roman" w:cs="Times New Roman"/>
          <w:sz w:val="24"/>
          <w:szCs w:val="24"/>
        </w:rPr>
        <w:t xml:space="preserve"> est </w:t>
      </w:r>
      <w:r w:rsidR="00DC200B">
        <w:rPr>
          <w:rFonts w:ascii="Times New Roman" w:hAnsi="Times New Roman" w:cs="Times New Roman"/>
          <w:sz w:val="24"/>
          <w:szCs w:val="24"/>
        </w:rPr>
        <w:t>développée</w:t>
      </w:r>
      <w:r w:rsidR="00EA28B0">
        <w:rPr>
          <w:rFonts w:ascii="Times New Roman" w:hAnsi="Times New Roman" w:cs="Times New Roman"/>
          <w:sz w:val="24"/>
          <w:szCs w:val="24"/>
        </w:rPr>
        <w:t xml:space="preserve"> par la société Cameroon </w:t>
      </w:r>
      <w:proofErr w:type="spellStart"/>
      <w:r w:rsidR="00EA28B0">
        <w:rPr>
          <w:rFonts w:ascii="Times New Roman" w:hAnsi="Times New Roman" w:cs="Times New Roman"/>
          <w:sz w:val="24"/>
          <w:szCs w:val="24"/>
        </w:rPr>
        <w:t>Mining</w:t>
      </w:r>
      <w:proofErr w:type="spellEnd"/>
      <w:r w:rsidR="00EA28B0">
        <w:rPr>
          <w:rFonts w:ascii="Times New Roman" w:hAnsi="Times New Roman" w:cs="Times New Roman"/>
          <w:sz w:val="24"/>
          <w:szCs w:val="24"/>
        </w:rPr>
        <w:t xml:space="preserve"> </w:t>
      </w:r>
      <w:proofErr w:type="spellStart"/>
      <w:r w:rsidR="00EA28B0">
        <w:rPr>
          <w:rFonts w:ascii="Times New Roman" w:hAnsi="Times New Roman" w:cs="Times New Roman"/>
          <w:sz w:val="24"/>
          <w:szCs w:val="24"/>
        </w:rPr>
        <w:t>Company</w:t>
      </w:r>
      <w:proofErr w:type="spellEnd"/>
      <w:r w:rsidRPr="00D85FA0">
        <w:rPr>
          <w:rFonts w:ascii="Times New Roman" w:hAnsi="Times New Roman" w:cs="Times New Roman"/>
          <w:sz w:val="24"/>
          <w:szCs w:val="24"/>
        </w:rPr>
        <w:t>, avec une réserve estimée à</w:t>
      </w:r>
      <w:r w:rsidR="00134E67">
        <w:rPr>
          <w:rFonts w:ascii="Times New Roman" w:hAnsi="Times New Roman" w:cs="Times New Roman"/>
          <w:sz w:val="24"/>
          <w:szCs w:val="24"/>
        </w:rPr>
        <w:t xml:space="preserve"> plus de</w:t>
      </w:r>
      <w:r w:rsidRPr="00D85FA0">
        <w:rPr>
          <w:rFonts w:ascii="Times New Roman" w:hAnsi="Times New Roman" w:cs="Times New Roman"/>
          <w:sz w:val="24"/>
          <w:szCs w:val="24"/>
        </w:rPr>
        <w:t> </w:t>
      </w:r>
      <w:r w:rsidR="00134E67">
        <w:rPr>
          <w:rFonts w:ascii="Times New Roman" w:hAnsi="Times New Roman" w:cs="Times New Roman"/>
          <w:sz w:val="24"/>
          <w:szCs w:val="24"/>
        </w:rPr>
        <w:t>2,3</w:t>
      </w:r>
      <w:r w:rsidR="00EA28B0">
        <w:rPr>
          <w:rFonts w:ascii="Times New Roman" w:hAnsi="Times New Roman" w:cs="Times New Roman"/>
          <w:sz w:val="24"/>
          <w:szCs w:val="24"/>
        </w:rPr>
        <w:t xml:space="preserve"> milliards</w:t>
      </w:r>
      <w:r w:rsidRPr="00D85FA0">
        <w:rPr>
          <w:rFonts w:ascii="Times New Roman" w:hAnsi="Times New Roman" w:cs="Times New Roman"/>
          <w:sz w:val="24"/>
          <w:szCs w:val="24"/>
        </w:rPr>
        <w:t> de tonnes de fer</w:t>
      </w:r>
      <w:r w:rsidR="00134E67">
        <w:rPr>
          <w:rFonts w:ascii="Times New Roman" w:hAnsi="Times New Roman" w:cs="Times New Roman"/>
          <w:sz w:val="24"/>
          <w:szCs w:val="24"/>
        </w:rPr>
        <w:t xml:space="preserve"> et près de 2000 emplois directs et indirects</w:t>
      </w:r>
      <w:r w:rsidR="00766F31">
        <w:rPr>
          <w:rFonts w:ascii="Times New Roman" w:hAnsi="Times New Roman" w:cs="Times New Roman"/>
          <w:sz w:val="24"/>
          <w:szCs w:val="24"/>
        </w:rPr>
        <w:t> ;</w:t>
      </w:r>
    </w:p>
    <w:p w14:paraId="7D38EE4F" w14:textId="77777777" w:rsidR="00766F31" w:rsidRDefault="00EA7DD6" w:rsidP="00234EAF">
      <w:pPr>
        <w:pStyle w:val="Paragraphedeliste"/>
        <w:numPr>
          <w:ilvl w:val="0"/>
          <w:numId w:val="11"/>
        </w:numPr>
        <w:spacing w:line="360" w:lineRule="auto"/>
        <w:jc w:val="both"/>
        <w:rPr>
          <w:rFonts w:ascii="Times New Roman" w:hAnsi="Times New Roman" w:cs="Times New Roman"/>
          <w:sz w:val="24"/>
          <w:szCs w:val="24"/>
        </w:rPr>
      </w:pPr>
      <w:r w:rsidRPr="00D85FA0">
        <w:rPr>
          <w:rFonts w:ascii="Times New Roman" w:hAnsi="Times New Roman" w:cs="Times New Roman"/>
          <w:sz w:val="24"/>
          <w:szCs w:val="24"/>
        </w:rPr>
        <w:t>L</w:t>
      </w:r>
      <w:r w:rsidR="00091E01">
        <w:rPr>
          <w:rFonts w:ascii="Times New Roman" w:hAnsi="Times New Roman" w:cs="Times New Roman"/>
          <w:sz w:val="24"/>
          <w:szCs w:val="24"/>
        </w:rPr>
        <w:t xml:space="preserve">e projet d’exploitation de la mine de bauxite de </w:t>
      </w:r>
      <w:proofErr w:type="spellStart"/>
      <w:r w:rsidR="00091E01">
        <w:rPr>
          <w:rFonts w:ascii="Times New Roman" w:hAnsi="Times New Roman" w:cs="Times New Roman"/>
          <w:sz w:val="24"/>
          <w:szCs w:val="24"/>
        </w:rPr>
        <w:t>Minim-Martap</w:t>
      </w:r>
      <w:proofErr w:type="spellEnd"/>
      <w:r w:rsidR="00091E01">
        <w:rPr>
          <w:rFonts w:ascii="Times New Roman" w:hAnsi="Times New Roman" w:cs="Times New Roman"/>
          <w:sz w:val="24"/>
          <w:szCs w:val="24"/>
        </w:rPr>
        <w:t xml:space="preserve"> porté par la société </w:t>
      </w:r>
      <w:proofErr w:type="spellStart"/>
      <w:r w:rsidR="00091E01">
        <w:rPr>
          <w:rFonts w:ascii="Times New Roman" w:hAnsi="Times New Roman" w:cs="Times New Roman"/>
          <w:sz w:val="24"/>
          <w:szCs w:val="24"/>
        </w:rPr>
        <w:t>Camalco</w:t>
      </w:r>
      <w:proofErr w:type="spellEnd"/>
      <w:r w:rsidR="00091E01">
        <w:rPr>
          <w:rFonts w:ascii="Times New Roman" w:hAnsi="Times New Roman" w:cs="Times New Roman"/>
          <w:sz w:val="24"/>
          <w:szCs w:val="24"/>
        </w:rPr>
        <w:t xml:space="preserve"> dispose de réserves évaluées à près d’un milliard de tonne de bauxite</w:t>
      </w:r>
      <w:r w:rsidR="00766F31">
        <w:rPr>
          <w:rFonts w:ascii="Times New Roman" w:hAnsi="Times New Roman" w:cs="Times New Roman"/>
          <w:sz w:val="24"/>
          <w:szCs w:val="24"/>
        </w:rPr>
        <w:t> ;</w:t>
      </w:r>
      <w:r w:rsidR="00091E01">
        <w:rPr>
          <w:rFonts w:ascii="Times New Roman" w:hAnsi="Times New Roman" w:cs="Times New Roman"/>
          <w:sz w:val="24"/>
          <w:szCs w:val="24"/>
        </w:rPr>
        <w:t xml:space="preserve"> </w:t>
      </w:r>
    </w:p>
    <w:p w14:paraId="51286C1F" w14:textId="691F3750" w:rsidR="00EA7DD6" w:rsidRPr="00766F31" w:rsidRDefault="00766F31" w:rsidP="00234EAF">
      <w:pPr>
        <w:pStyle w:val="Paragraphedeliste"/>
        <w:numPr>
          <w:ilvl w:val="0"/>
          <w:numId w:val="11"/>
        </w:numPr>
        <w:spacing w:line="360" w:lineRule="auto"/>
        <w:jc w:val="both"/>
        <w:rPr>
          <w:rFonts w:ascii="Times New Roman" w:hAnsi="Times New Roman" w:cs="Times New Roman"/>
          <w:sz w:val="24"/>
          <w:szCs w:val="24"/>
        </w:rPr>
      </w:pPr>
      <w:r w:rsidRPr="00D85FA0">
        <w:rPr>
          <w:rFonts w:ascii="Times New Roman" w:hAnsi="Times New Roman" w:cs="Times New Roman"/>
          <w:sz w:val="24"/>
          <w:szCs w:val="24"/>
        </w:rPr>
        <w:t>L'exploitation de la petite mine d'or de Colomine</w:t>
      </w:r>
      <w:r>
        <w:rPr>
          <w:rFonts w:ascii="Times New Roman" w:hAnsi="Times New Roman" w:cs="Times New Roman"/>
          <w:sz w:val="24"/>
          <w:szCs w:val="24"/>
        </w:rPr>
        <w:t xml:space="preserve"> porté par la société                           </w:t>
      </w:r>
      <w:proofErr w:type="spellStart"/>
      <w:r>
        <w:rPr>
          <w:rFonts w:ascii="Times New Roman" w:hAnsi="Times New Roman" w:cs="Times New Roman"/>
          <w:sz w:val="24"/>
          <w:szCs w:val="24"/>
        </w:rPr>
        <w:t>Codias</w:t>
      </w:r>
      <w:proofErr w:type="spellEnd"/>
      <w:r>
        <w:rPr>
          <w:rFonts w:ascii="Times New Roman" w:hAnsi="Times New Roman" w:cs="Times New Roman"/>
          <w:sz w:val="24"/>
          <w:szCs w:val="24"/>
        </w:rPr>
        <w:t xml:space="preserve"> SA</w:t>
      </w:r>
      <w:r w:rsidRPr="00D85FA0">
        <w:rPr>
          <w:rFonts w:ascii="Times New Roman" w:hAnsi="Times New Roman" w:cs="Times New Roman"/>
          <w:sz w:val="24"/>
          <w:szCs w:val="24"/>
        </w:rPr>
        <w:t>, </w:t>
      </w:r>
      <w:r>
        <w:rPr>
          <w:rFonts w:ascii="Times New Roman" w:hAnsi="Times New Roman" w:cs="Times New Roman"/>
          <w:sz w:val="24"/>
          <w:szCs w:val="24"/>
        </w:rPr>
        <w:t>prévoit produire 600 kg d’or par an ;</w:t>
      </w:r>
    </w:p>
    <w:p w14:paraId="7C5CB8D1" w14:textId="5A28D3D2" w:rsidR="00EA7DD6" w:rsidRDefault="00EA7DD6" w:rsidP="00234EAF">
      <w:pPr>
        <w:spacing w:line="360" w:lineRule="auto"/>
        <w:ind w:left="360"/>
        <w:jc w:val="both"/>
        <w:rPr>
          <w:rFonts w:ascii="Times New Roman" w:hAnsi="Times New Roman" w:cs="Times New Roman"/>
          <w:sz w:val="24"/>
          <w:szCs w:val="24"/>
        </w:rPr>
      </w:pPr>
      <w:r w:rsidRPr="00D85FA0">
        <w:rPr>
          <w:rFonts w:ascii="Times New Roman" w:hAnsi="Times New Roman" w:cs="Times New Roman"/>
          <w:sz w:val="24"/>
          <w:szCs w:val="24"/>
        </w:rPr>
        <w:t>Ces projets sont attendus pour contribuer de manière significative à l’économie nationale.</w:t>
      </w:r>
    </w:p>
    <w:p w14:paraId="4E4F2CB8" w14:textId="77777777" w:rsidR="00DC200B" w:rsidRDefault="00DC200B" w:rsidP="00234EAF">
      <w:pPr>
        <w:spacing w:line="360" w:lineRule="auto"/>
        <w:ind w:left="360"/>
        <w:jc w:val="both"/>
        <w:rPr>
          <w:rFonts w:ascii="Times New Roman" w:hAnsi="Times New Roman" w:cs="Times New Roman"/>
          <w:sz w:val="24"/>
          <w:szCs w:val="24"/>
        </w:rPr>
      </w:pPr>
    </w:p>
    <w:p w14:paraId="7CE57399" w14:textId="601C0496" w:rsidR="00BF5684" w:rsidRDefault="00C001BC" w:rsidP="00234E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DC200B">
        <w:rPr>
          <w:rFonts w:ascii="Times New Roman" w:hAnsi="Times New Roman" w:cs="Times New Roman"/>
          <w:b/>
          <w:bCs/>
          <w:sz w:val="24"/>
          <w:szCs w:val="24"/>
        </w:rPr>
        <w:t>V.2</w:t>
      </w:r>
      <w:r w:rsidR="00CD47AF">
        <w:rPr>
          <w:rFonts w:ascii="Times New Roman" w:hAnsi="Times New Roman" w:cs="Times New Roman"/>
          <w:b/>
          <w:bCs/>
          <w:sz w:val="24"/>
          <w:szCs w:val="24"/>
        </w:rPr>
        <w:t xml:space="preserve"> </w:t>
      </w:r>
      <w:r w:rsidR="00DC200B">
        <w:rPr>
          <w:rFonts w:ascii="Times New Roman" w:hAnsi="Times New Roman" w:cs="Times New Roman"/>
          <w:b/>
          <w:bCs/>
          <w:sz w:val="24"/>
          <w:szCs w:val="24"/>
        </w:rPr>
        <w:t>IMPACTS DES GRANDS</w:t>
      </w:r>
      <w:r w:rsidR="00DC200B" w:rsidRPr="00DC200B">
        <w:rPr>
          <w:rFonts w:ascii="Times New Roman" w:hAnsi="Times New Roman" w:cs="Times New Roman"/>
          <w:b/>
          <w:bCs/>
          <w:sz w:val="24"/>
          <w:szCs w:val="24"/>
        </w:rPr>
        <w:t xml:space="preserve"> PROJETS MINIERS</w:t>
      </w:r>
      <w:r w:rsidR="00DC200B">
        <w:rPr>
          <w:rFonts w:ascii="Times New Roman" w:hAnsi="Times New Roman" w:cs="Times New Roman"/>
          <w:b/>
          <w:bCs/>
          <w:sz w:val="24"/>
          <w:szCs w:val="24"/>
        </w:rPr>
        <w:t xml:space="preserve"> DANS</w:t>
      </w:r>
      <w:r w:rsidR="00FC7A76">
        <w:rPr>
          <w:rFonts w:ascii="Times New Roman" w:hAnsi="Times New Roman" w:cs="Times New Roman"/>
          <w:b/>
          <w:bCs/>
          <w:sz w:val="24"/>
          <w:szCs w:val="24"/>
        </w:rPr>
        <w:t xml:space="preserve"> LA FORMATION PROFESSIONNELLE.</w:t>
      </w:r>
    </w:p>
    <w:p w14:paraId="1E4FFE55" w14:textId="77777777" w:rsidR="00BF5684" w:rsidRDefault="00BF5684" w:rsidP="00234EAF">
      <w:pPr>
        <w:spacing w:line="360" w:lineRule="auto"/>
        <w:jc w:val="both"/>
        <w:rPr>
          <w:rFonts w:ascii="Times New Roman" w:hAnsi="Times New Roman" w:cs="Times New Roman"/>
          <w:sz w:val="24"/>
          <w:szCs w:val="24"/>
        </w:rPr>
      </w:pPr>
      <w:r>
        <w:rPr>
          <w:rFonts w:ascii="Times New Roman" w:hAnsi="Times New Roman" w:cs="Times New Roman"/>
          <w:sz w:val="24"/>
          <w:szCs w:val="24"/>
        </w:rPr>
        <w:t>Durant les phases de négociation des conventions minières, l’Etat exige des compagnies étrangères le développement de la main d’œuvre locale en donnant la priorité à la formation professionnelle et au transfert des compétences.</w:t>
      </w:r>
    </w:p>
    <w:p w14:paraId="478F6171" w14:textId="6299FA20" w:rsidR="00FC7A76" w:rsidRDefault="00A44983" w:rsidP="00234EA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L’administration en charge des mines</w:t>
      </w:r>
      <w:r w:rsidR="00BF5684">
        <w:rPr>
          <w:rFonts w:ascii="Times New Roman" w:hAnsi="Times New Roman" w:cs="Times New Roman"/>
          <w:sz w:val="24"/>
          <w:szCs w:val="24"/>
        </w:rPr>
        <w:t xml:space="preserve"> </w:t>
      </w:r>
      <w:r>
        <w:rPr>
          <w:rFonts w:ascii="Times New Roman" w:hAnsi="Times New Roman" w:cs="Times New Roman"/>
          <w:sz w:val="24"/>
          <w:szCs w:val="24"/>
        </w:rPr>
        <w:t>encourage la collaboration entre les universités, les écoles techniques et les centres de formation locaux pour élaborer des programmes d’étude et de formation qui répondent</w:t>
      </w:r>
      <w:r w:rsidR="00FC7A76">
        <w:rPr>
          <w:rFonts w:ascii="Times New Roman" w:hAnsi="Times New Roman" w:cs="Times New Roman"/>
          <w:sz w:val="24"/>
          <w:szCs w:val="24"/>
        </w:rPr>
        <w:t xml:space="preserve"> aux besoins de l’industrie minière.</w:t>
      </w:r>
    </w:p>
    <w:p w14:paraId="71197081" w14:textId="77777777" w:rsidR="00FC7A76" w:rsidRDefault="00FC7A76" w:rsidP="00234EAF">
      <w:pPr>
        <w:spacing w:line="360" w:lineRule="auto"/>
        <w:jc w:val="both"/>
        <w:rPr>
          <w:rFonts w:ascii="Times New Roman" w:hAnsi="Times New Roman" w:cs="Times New Roman"/>
          <w:sz w:val="24"/>
          <w:szCs w:val="24"/>
        </w:rPr>
      </w:pPr>
    </w:p>
    <w:p w14:paraId="3855DFD3" w14:textId="5C2C4368" w:rsidR="00FC7A76" w:rsidRPr="0003201B" w:rsidRDefault="00C001BC" w:rsidP="00234EAF">
      <w:pPr>
        <w:spacing w:line="360" w:lineRule="auto"/>
        <w:ind w:left="360"/>
        <w:jc w:val="both"/>
        <w:rPr>
          <w:rFonts w:ascii="Times New Roman" w:hAnsi="Times New Roman" w:cs="Times New Roman"/>
          <w:b/>
          <w:bCs/>
          <w:sz w:val="24"/>
          <w:szCs w:val="24"/>
        </w:rPr>
      </w:pPr>
      <w:r w:rsidRPr="00C001BC">
        <w:rPr>
          <w:rFonts w:ascii="Times New Roman" w:hAnsi="Times New Roman" w:cs="Times New Roman"/>
          <w:b/>
          <w:bCs/>
          <w:sz w:val="24"/>
          <w:szCs w:val="24"/>
        </w:rPr>
        <w:t>IV.3</w:t>
      </w:r>
      <w:r>
        <w:rPr>
          <w:rFonts w:ascii="Times New Roman" w:hAnsi="Times New Roman" w:cs="Times New Roman"/>
          <w:b/>
          <w:bCs/>
          <w:sz w:val="24"/>
          <w:szCs w:val="24"/>
        </w:rPr>
        <w:t xml:space="preserve"> </w:t>
      </w:r>
      <w:r w:rsidR="00FC7A76" w:rsidRPr="0003201B">
        <w:rPr>
          <w:rFonts w:ascii="Times New Roman" w:hAnsi="Times New Roman" w:cs="Times New Roman"/>
          <w:b/>
          <w:bCs/>
          <w:sz w:val="24"/>
          <w:szCs w:val="24"/>
        </w:rPr>
        <w:t>LES DIFFERENTS FONDS D’ETATS POUR LA MISE EN ŒUVRE DE LA POLITIQUE MINIERE</w:t>
      </w:r>
    </w:p>
    <w:p w14:paraId="10344B25" w14:textId="216C88D4" w:rsidR="0003201B" w:rsidRDefault="00F01D1C" w:rsidP="00234EAF">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Le fonds de développement du secteur minier ;</w:t>
      </w:r>
    </w:p>
    <w:p w14:paraId="6C2EA280" w14:textId="7732AE10" w:rsidR="00F01D1C" w:rsidRDefault="00F01D1C" w:rsidP="00234EAF">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Le fonds de restauration, réhabilitation et de fermeture des sites miniers et des carrières ;</w:t>
      </w:r>
    </w:p>
    <w:p w14:paraId="086F60CB" w14:textId="45D1640E" w:rsidR="00F01D1C" w:rsidRDefault="00F01D1C" w:rsidP="00234EAF">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Le compte spécial pour le d</w:t>
      </w:r>
      <w:r w:rsidR="00C001BC">
        <w:rPr>
          <w:rFonts w:ascii="Times New Roman" w:hAnsi="Times New Roman" w:cs="Times New Roman"/>
          <w:sz w:val="24"/>
          <w:szCs w:val="24"/>
        </w:rPr>
        <w:t>é</w:t>
      </w:r>
      <w:r>
        <w:rPr>
          <w:rFonts w:ascii="Times New Roman" w:hAnsi="Times New Roman" w:cs="Times New Roman"/>
          <w:sz w:val="24"/>
          <w:szCs w:val="24"/>
        </w:rPr>
        <w:t>veloppement des capacités locales</w:t>
      </w:r>
      <w:r w:rsidR="00C001BC">
        <w:rPr>
          <w:rFonts w:ascii="Times New Roman" w:hAnsi="Times New Roman" w:cs="Times New Roman"/>
          <w:sz w:val="24"/>
          <w:szCs w:val="24"/>
        </w:rPr>
        <w:t>.</w:t>
      </w:r>
    </w:p>
    <w:p w14:paraId="05B4FB84" w14:textId="77777777" w:rsidR="00234EAF" w:rsidRDefault="00234EAF" w:rsidP="00234EAF">
      <w:pPr>
        <w:spacing w:line="360" w:lineRule="auto"/>
        <w:jc w:val="both"/>
        <w:rPr>
          <w:rFonts w:ascii="Times New Roman" w:hAnsi="Times New Roman" w:cs="Times New Roman"/>
          <w:sz w:val="24"/>
          <w:szCs w:val="24"/>
        </w:rPr>
      </w:pPr>
    </w:p>
    <w:p w14:paraId="7E8D8D4C" w14:textId="77777777" w:rsidR="00234EAF" w:rsidRDefault="00234EAF" w:rsidP="00234EAF">
      <w:pPr>
        <w:spacing w:line="360" w:lineRule="auto"/>
        <w:jc w:val="both"/>
        <w:rPr>
          <w:rFonts w:ascii="Times New Roman" w:hAnsi="Times New Roman" w:cs="Times New Roman"/>
          <w:sz w:val="24"/>
          <w:szCs w:val="24"/>
        </w:rPr>
      </w:pPr>
    </w:p>
    <w:p w14:paraId="17728D3B" w14:textId="77777777" w:rsidR="00234EAF" w:rsidRDefault="00234EAF" w:rsidP="00234EAF">
      <w:pPr>
        <w:spacing w:line="360" w:lineRule="auto"/>
        <w:jc w:val="both"/>
        <w:rPr>
          <w:rFonts w:ascii="Times New Roman" w:hAnsi="Times New Roman" w:cs="Times New Roman"/>
          <w:sz w:val="24"/>
          <w:szCs w:val="24"/>
        </w:rPr>
      </w:pPr>
    </w:p>
    <w:p w14:paraId="20A0C436" w14:textId="77777777" w:rsidR="00234EAF" w:rsidRDefault="00234EAF" w:rsidP="00234EAF">
      <w:pPr>
        <w:spacing w:line="360" w:lineRule="auto"/>
        <w:jc w:val="both"/>
        <w:rPr>
          <w:rFonts w:ascii="Times New Roman" w:hAnsi="Times New Roman" w:cs="Times New Roman"/>
          <w:sz w:val="24"/>
          <w:szCs w:val="24"/>
        </w:rPr>
      </w:pPr>
    </w:p>
    <w:p w14:paraId="529412CC" w14:textId="77777777" w:rsidR="00234EAF" w:rsidRDefault="00234EAF" w:rsidP="00234EAF">
      <w:pPr>
        <w:spacing w:line="360" w:lineRule="auto"/>
        <w:jc w:val="both"/>
        <w:rPr>
          <w:rFonts w:ascii="Times New Roman" w:hAnsi="Times New Roman" w:cs="Times New Roman"/>
          <w:sz w:val="24"/>
          <w:szCs w:val="24"/>
        </w:rPr>
      </w:pPr>
      <w:bookmarkStart w:id="2" w:name="_GoBack"/>
      <w:bookmarkEnd w:id="2"/>
    </w:p>
    <w:p w14:paraId="15A20B61" w14:textId="77777777" w:rsidR="00234EAF" w:rsidRDefault="00234EAF" w:rsidP="00234EAF">
      <w:pPr>
        <w:spacing w:line="360" w:lineRule="auto"/>
        <w:jc w:val="both"/>
        <w:rPr>
          <w:rFonts w:ascii="Times New Roman" w:hAnsi="Times New Roman" w:cs="Times New Roman"/>
          <w:sz w:val="24"/>
          <w:szCs w:val="24"/>
        </w:rPr>
      </w:pPr>
    </w:p>
    <w:p w14:paraId="049B57F7" w14:textId="77777777" w:rsidR="00234EAF" w:rsidRDefault="00234EAF" w:rsidP="00234EAF">
      <w:pPr>
        <w:spacing w:line="360" w:lineRule="auto"/>
        <w:jc w:val="both"/>
        <w:rPr>
          <w:rFonts w:ascii="Times New Roman" w:hAnsi="Times New Roman" w:cs="Times New Roman"/>
          <w:sz w:val="24"/>
          <w:szCs w:val="24"/>
        </w:rPr>
      </w:pPr>
    </w:p>
    <w:p w14:paraId="568A5C65" w14:textId="77777777" w:rsidR="00234EAF" w:rsidRDefault="00234EAF" w:rsidP="00234EAF">
      <w:pPr>
        <w:spacing w:line="360" w:lineRule="auto"/>
        <w:jc w:val="both"/>
        <w:rPr>
          <w:rFonts w:ascii="Times New Roman" w:hAnsi="Times New Roman" w:cs="Times New Roman"/>
          <w:sz w:val="24"/>
          <w:szCs w:val="24"/>
        </w:rPr>
      </w:pPr>
    </w:p>
    <w:p w14:paraId="15077B57" w14:textId="77777777" w:rsidR="00234EAF" w:rsidRDefault="00234EAF" w:rsidP="00234EAF">
      <w:pPr>
        <w:spacing w:line="360" w:lineRule="auto"/>
        <w:jc w:val="both"/>
        <w:rPr>
          <w:rFonts w:ascii="Times New Roman" w:hAnsi="Times New Roman" w:cs="Times New Roman"/>
          <w:sz w:val="24"/>
          <w:szCs w:val="24"/>
        </w:rPr>
      </w:pPr>
    </w:p>
    <w:p w14:paraId="5B137A9E" w14:textId="77777777" w:rsidR="00234EAF" w:rsidRDefault="00234EAF" w:rsidP="00234EAF">
      <w:pPr>
        <w:spacing w:line="360" w:lineRule="auto"/>
        <w:jc w:val="both"/>
        <w:rPr>
          <w:rFonts w:ascii="Times New Roman" w:hAnsi="Times New Roman" w:cs="Times New Roman"/>
          <w:sz w:val="24"/>
          <w:szCs w:val="24"/>
        </w:rPr>
      </w:pPr>
    </w:p>
    <w:p w14:paraId="1553DA37" w14:textId="77777777" w:rsidR="00234EAF" w:rsidRDefault="00234EAF" w:rsidP="00234EAF">
      <w:pPr>
        <w:spacing w:line="360" w:lineRule="auto"/>
        <w:jc w:val="both"/>
        <w:rPr>
          <w:rFonts w:ascii="Times New Roman" w:hAnsi="Times New Roman" w:cs="Times New Roman"/>
          <w:sz w:val="24"/>
          <w:szCs w:val="24"/>
        </w:rPr>
      </w:pPr>
    </w:p>
    <w:p w14:paraId="22F18075" w14:textId="77777777" w:rsidR="00234EAF" w:rsidRDefault="00234EAF" w:rsidP="00234EAF">
      <w:pPr>
        <w:spacing w:line="360" w:lineRule="auto"/>
        <w:jc w:val="both"/>
        <w:rPr>
          <w:rFonts w:ascii="Times New Roman" w:hAnsi="Times New Roman" w:cs="Times New Roman"/>
          <w:sz w:val="24"/>
          <w:szCs w:val="24"/>
        </w:rPr>
      </w:pPr>
    </w:p>
    <w:p w14:paraId="25D9DF59" w14:textId="77777777" w:rsidR="00234EAF" w:rsidRDefault="00234EAF" w:rsidP="00234EAF">
      <w:pPr>
        <w:spacing w:line="360" w:lineRule="auto"/>
        <w:jc w:val="both"/>
        <w:rPr>
          <w:rFonts w:ascii="Times New Roman" w:hAnsi="Times New Roman" w:cs="Times New Roman"/>
          <w:sz w:val="24"/>
          <w:szCs w:val="24"/>
        </w:rPr>
      </w:pPr>
    </w:p>
    <w:p w14:paraId="325A20D1" w14:textId="77777777" w:rsidR="00234EAF" w:rsidRDefault="00234EAF" w:rsidP="00234EAF">
      <w:pPr>
        <w:spacing w:line="360" w:lineRule="auto"/>
        <w:jc w:val="both"/>
        <w:rPr>
          <w:rFonts w:ascii="Times New Roman" w:hAnsi="Times New Roman" w:cs="Times New Roman"/>
          <w:sz w:val="24"/>
          <w:szCs w:val="24"/>
        </w:rPr>
      </w:pPr>
    </w:p>
    <w:p w14:paraId="46A9B057" w14:textId="77777777" w:rsidR="00234EAF" w:rsidRDefault="00234EAF" w:rsidP="00234EAF">
      <w:pPr>
        <w:spacing w:line="360" w:lineRule="auto"/>
        <w:jc w:val="both"/>
        <w:rPr>
          <w:rFonts w:ascii="Times New Roman" w:hAnsi="Times New Roman" w:cs="Times New Roman"/>
          <w:sz w:val="24"/>
          <w:szCs w:val="24"/>
        </w:rPr>
      </w:pPr>
    </w:p>
    <w:p w14:paraId="4CE72926" w14:textId="77777777" w:rsidR="00234EAF" w:rsidRDefault="00234EAF" w:rsidP="00234EAF">
      <w:pPr>
        <w:spacing w:line="360" w:lineRule="auto"/>
        <w:jc w:val="both"/>
        <w:rPr>
          <w:rFonts w:ascii="Times New Roman" w:hAnsi="Times New Roman" w:cs="Times New Roman"/>
          <w:sz w:val="24"/>
          <w:szCs w:val="24"/>
        </w:rPr>
      </w:pPr>
    </w:p>
    <w:p w14:paraId="5B228758" w14:textId="77777777" w:rsidR="00234EAF" w:rsidRPr="00234EAF" w:rsidRDefault="00234EAF" w:rsidP="00234EAF">
      <w:pPr>
        <w:spacing w:line="360" w:lineRule="auto"/>
        <w:jc w:val="both"/>
        <w:rPr>
          <w:rFonts w:ascii="Times New Roman" w:hAnsi="Times New Roman" w:cs="Times New Roman"/>
          <w:sz w:val="24"/>
          <w:szCs w:val="24"/>
        </w:rPr>
      </w:pPr>
    </w:p>
    <w:p w14:paraId="52A2F1D1" w14:textId="22094B2E" w:rsidR="00A44983" w:rsidRPr="00C001BC" w:rsidRDefault="00C001BC" w:rsidP="00234EAF">
      <w:pPr>
        <w:spacing w:line="360" w:lineRule="auto"/>
        <w:jc w:val="both"/>
        <w:rPr>
          <w:rFonts w:ascii="Times New Roman" w:hAnsi="Times New Roman" w:cs="Times New Roman"/>
          <w:b/>
          <w:bCs/>
          <w:sz w:val="24"/>
          <w:szCs w:val="24"/>
        </w:rPr>
      </w:pPr>
      <w:r w:rsidRPr="00C001BC">
        <w:rPr>
          <w:rFonts w:ascii="Times New Roman" w:hAnsi="Times New Roman" w:cs="Times New Roman"/>
          <w:b/>
          <w:bCs/>
          <w:sz w:val="24"/>
          <w:szCs w:val="24"/>
        </w:rPr>
        <w:lastRenderedPageBreak/>
        <w:t>Tableau</w:t>
      </w:r>
      <w:r>
        <w:rPr>
          <w:rFonts w:ascii="Times New Roman" w:hAnsi="Times New Roman" w:cs="Times New Roman"/>
          <w:b/>
          <w:bCs/>
          <w:sz w:val="24"/>
          <w:szCs w:val="24"/>
        </w:rPr>
        <w:t>2 :</w:t>
      </w:r>
      <w:r w:rsidRPr="00C001BC">
        <w:rPr>
          <w:rFonts w:ascii="Times New Roman" w:hAnsi="Times New Roman" w:cs="Times New Roman"/>
          <w:b/>
          <w:bCs/>
          <w:sz w:val="24"/>
          <w:szCs w:val="24"/>
        </w:rPr>
        <w:t xml:space="preserve"> comparatif des principales dispositions des Codes miniers (2016-2023</w:t>
      </w:r>
      <w:r>
        <w:rPr>
          <w:rFonts w:ascii="Times New Roman" w:hAnsi="Times New Roman" w:cs="Times New Roman"/>
          <w:b/>
          <w:bCs/>
          <w:sz w:val="24"/>
          <w:szCs w:val="24"/>
        </w:rPr>
        <w:t>)</w:t>
      </w:r>
    </w:p>
    <w:tbl>
      <w:tblPr>
        <w:tblStyle w:val="Grilledutableau"/>
        <w:tblW w:w="10348" w:type="dxa"/>
        <w:tblInd w:w="-714"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269"/>
        <w:gridCol w:w="3969"/>
        <w:gridCol w:w="4110"/>
      </w:tblGrid>
      <w:tr w:rsidR="007D2E26" w:rsidRPr="00234EAF" w14:paraId="6CF7B090" w14:textId="77777777" w:rsidTr="00234EAF">
        <w:trPr>
          <w:tblHeader/>
        </w:trPr>
        <w:tc>
          <w:tcPr>
            <w:tcW w:w="2269" w:type="dxa"/>
            <w:shd w:val="clear" w:color="auto" w:fill="748A96"/>
            <w:hideMark/>
          </w:tcPr>
          <w:p w14:paraId="164EEF18" w14:textId="77777777" w:rsidR="007D2E26" w:rsidRPr="00234EAF" w:rsidRDefault="007D2E26" w:rsidP="002601DF">
            <w:pPr>
              <w:spacing w:after="40" w:line="276" w:lineRule="auto"/>
              <w:jc w:val="both"/>
              <w:rPr>
                <w:rFonts w:ascii="Times New Roman" w:hAnsi="Times New Roman" w:cs="Times New Roman"/>
                <w:b/>
                <w:bCs/>
                <w:color w:val="FFFFFF" w:themeColor="background1"/>
                <w:sz w:val="22"/>
                <w:szCs w:val="22"/>
              </w:rPr>
            </w:pPr>
            <w:r w:rsidRPr="00234EAF">
              <w:rPr>
                <w:rFonts w:ascii="Times New Roman" w:hAnsi="Times New Roman" w:cs="Times New Roman"/>
                <w:b/>
                <w:bCs/>
                <w:color w:val="FFFFFF" w:themeColor="background1"/>
                <w:sz w:val="22"/>
                <w:szCs w:val="22"/>
              </w:rPr>
              <w:t>Thématique</w:t>
            </w:r>
          </w:p>
        </w:tc>
        <w:tc>
          <w:tcPr>
            <w:tcW w:w="3969" w:type="dxa"/>
            <w:shd w:val="clear" w:color="auto" w:fill="748A96"/>
            <w:hideMark/>
          </w:tcPr>
          <w:p w14:paraId="6D371B85" w14:textId="77777777" w:rsidR="007D2E26" w:rsidRPr="00234EAF" w:rsidRDefault="007D2E26" w:rsidP="002601DF">
            <w:pPr>
              <w:spacing w:after="40" w:line="276" w:lineRule="auto"/>
              <w:jc w:val="both"/>
              <w:rPr>
                <w:rFonts w:ascii="Times New Roman" w:hAnsi="Times New Roman" w:cs="Times New Roman"/>
                <w:b/>
                <w:bCs/>
                <w:color w:val="FFFFFF" w:themeColor="background1"/>
                <w:sz w:val="22"/>
                <w:szCs w:val="22"/>
              </w:rPr>
            </w:pPr>
            <w:r w:rsidRPr="00234EAF">
              <w:rPr>
                <w:rFonts w:ascii="Times New Roman" w:hAnsi="Times New Roman" w:cs="Times New Roman"/>
                <w:b/>
                <w:bCs/>
                <w:color w:val="FFFFFF" w:themeColor="background1"/>
                <w:sz w:val="22"/>
                <w:szCs w:val="22"/>
              </w:rPr>
              <w:t>Code minier 2016</w:t>
            </w:r>
          </w:p>
        </w:tc>
        <w:tc>
          <w:tcPr>
            <w:tcW w:w="4110" w:type="dxa"/>
            <w:shd w:val="clear" w:color="auto" w:fill="748A96"/>
            <w:hideMark/>
          </w:tcPr>
          <w:p w14:paraId="7627B92B" w14:textId="77777777" w:rsidR="007D2E26" w:rsidRPr="00234EAF" w:rsidRDefault="007D2E26" w:rsidP="002601DF">
            <w:pPr>
              <w:spacing w:after="40" w:line="276" w:lineRule="auto"/>
              <w:jc w:val="both"/>
              <w:rPr>
                <w:rFonts w:ascii="Times New Roman" w:hAnsi="Times New Roman" w:cs="Times New Roman"/>
                <w:b/>
                <w:bCs/>
                <w:color w:val="FFFFFF" w:themeColor="background1"/>
                <w:sz w:val="22"/>
                <w:szCs w:val="22"/>
              </w:rPr>
            </w:pPr>
            <w:r w:rsidRPr="00234EAF">
              <w:rPr>
                <w:rFonts w:ascii="Times New Roman" w:hAnsi="Times New Roman" w:cs="Times New Roman"/>
                <w:b/>
                <w:bCs/>
                <w:color w:val="FFFFFF" w:themeColor="background1"/>
                <w:sz w:val="22"/>
                <w:szCs w:val="22"/>
              </w:rPr>
              <w:t>Code minier 2023</w:t>
            </w:r>
          </w:p>
        </w:tc>
      </w:tr>
      <w:tr w:rsidR="007D2E26" w:rsidRPr="00234EAF" w14:paraId="46883A62" w14:textId="77777777" w:rsidTr="00234EAF">
        <w:tc>
          <w:tcPr>
            <w:tcW w:w="2269" w:type="dxa"/>
            <w:hideMark/>
          </w:tcPr>
          <w:p w14:paraId="753D6D95"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
                <w:bCs/>
                <w:sz w:val="22"/>
                <w:szCs w:val="22"/>
              </w:rPr>
              <w:t>Régime fiscal</w:t>
            </w:r>
          </w:p>
        </w:tc>
        <w:tc>
          <w:tcPr>
            <w:tcW w:w="3969" w:type="dxa"/>
            <w:hideMark/>
          </w:tcPr>
          <w:p w14:paraId="50A1F546"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Instauration d’une fiscalité minière structurée, combinant :</w:t>
            </w:r>
          </w:p>
          <w:p w14:paraId="704B59EA" w14:textId="77777777" w:rsidR="007D2E26" w:rsidRPr="00234EAF" w:rsidRDefault="007D2E26" w:rsidP="002601DF">
            <w:pPr>
              <w:pStyle w:val="Paragraphedeliste"/>
              <w:numPr>
                <w:ilvl w:val="0"/>
                <w:numId w:val="13"/>
              </w:numPr>
              <w:autoSpaceDE w:val="0"/>
              <w:autoSpaceDN w:val="0"/>
              <w:adjustRightInd w:val="0"/>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redevance proportionnelle à la valeur des produits extraits,</w:t>
            </w:r>
          </w:p>
          <w:p w14:paraId="15C55DE5" w14:textId="77777777" w:rsidR="007D2E26" w:rsidRPr="00234EAF" w:rsidRDefault="007D2E26" w:rsidP="002601DF">
            <w:pPr>
              <w:pStyle w:val="Paragraphedeliste"/>
              <w:numPr>
                <w:ilvl w:val="0"/>
                <w:numId w:val="13"/>
              </w:numPr>
              <w:autoSpaceDE w:val="0"/>
              <w:autoSpaceDN w:val="0"/>
              <w:adjustRightInd w:val="0"/>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impôt sur les sociétés (IS) au taux de droit commun,</w:t>
            </w:r>
          </w:p>
          <w:p w14:paraId="4FAFE5A5" w14:textId="77777777" w:rsidR="007D2E26" w:rsidRPr="00234EAF" w:rsidRDefault="007D2E26" w:rsidP="002601DF">
            <w:pPr>
              <w:pStyle w:val="Paragraphedeliste"/>
              <w:numPr>
                <w:ilvl w:val="0"/>
                <w:numId w:val="13"/>
              </w:numPr>
              <w:autoSpaceDE w:val="0"/>
              <w:autoSpaceDN w:val="0"/>
              <w:adjustRightInd w:val="0"/>
              <w:spacing w:after="40" w:line="276" w:lineRule="auto"/>
              <w:ind w:left="714" w:hanging="357"/>
              <w:jc w:val="both"/>
              <w:rPr>
                <w:rFonts w:ascii="Times New Roman" w:hAnsi="Times New Roman" w:cs="Times New Roman"/>
                <w:bCs/>
                <w:sz w:val="22"/>
                <w:szCs w:val="22"/>
              </w:rPr>
            </w:pPr>
            <w:r w:rsidRPr="00234EAF">
              <w:rPr>
                <w:rFonts w:ascii="Times New Roman" w:hAnsi="Times New Roman" w:cs="Times New Roman"/>
                <w:bCs/>
                <w:sz w:val="22"/>
                <w:szCs w:val="22"/>
              </w:rPr>
              <w:t>imposition des plus-values de cession de titres miniers</w:t>
            </w:r>
          </w:p>
          <w:p w14:paraId="2A09C169"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Introduction du principe de pleine concurrence et obligation d’audit pour encadrer les transactions, afin de limiter les pratiques de transfert de prix.</w:t>
            </w:r>
            <w:r w:rsidRPr="00234EAF">
              <w:rPr>
                <w:rFonts w:ascii="Times New Roman" w:hAnsi="Times New Roman" w:cs="Times New Roman"/>
                <w:bCs/>
                <w:sz w:val="22"/>
                <w:szCs w:val="22"/>
              </w:rPr>
              <w:br/>
              <w:t>- Plafonnement des intérêts déductibles.</w:t>
            </w:r>
          </w:p>
        </w:tc>
        <w:tc>
          <w:tcPr>
            <w:tcW w:w="4110" w:type="dxa"/>
            <w:hideMark/>
          </w:tcPr>
          <w:p w14:paraId="534DA426"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Maintien du principe d’application du droit commun pour l’IS.</w:t>
            </w:r>
            <w:r w:rsidRPr="00234EAF">
              <w:rPr>
                <w:rFonts w:ascii="Times New Roman" w:hAnsi="Times New Roman" w:cs="Times New Roman"/>
                <w:bCs/>
                <w:sz w:val="22"/>
                <w:szCs w:val="22"/>
              </w:rPr>
              <w:br/>
              <w:t>- Maintien des instruments spécifiques (redevance, fiscalité des transactions).</w:t>
            </w:r>
            <w:r w:rsidRPr="00234EAF">
              <w:rPr>
                <w:rFonts w:ascii="Times New Roman" w:hAnsi="Times New Roman" w:cs="Times New Roman"/>
                <w:bCs/>
                <w:sz w:val="22"/>
                <w:szCs w:val="22"/>
              </w:rPr>
              <w:br/>
              <w:t>- Renforcement des règles anti-optimisation (plafond intérêts, amortissements, coûts déductibles).</w:t>
            </w:r>
            <w:r w:rsidRPr="00234EAF">
              <w:rPr>
                <w:rFonts w:ascii="Times New Roman" w:hAnsi="Times New Roman" w:cs="Times New Roman"/>
                <w:bCs/>
                <w:sz w:val="22"/>
                <w:szCs w:val="22"/>
              </w:rPr>
              <w:br/>
              <w:t xml:space="preserve">- Introduction du </w:t>
            </w:r>
            <w:r w:rsidRPr="00234EAF">
              <w:rPr>
                <w:rFonts w:ascii="Times New Roman" w:hAnsi="Times New Roman" w:cs="Times New Roman"/>
                <w:b/>
                <w:bCs/>
                <w:sz w:val="22"/>
                <w:szCs w:val="22"/>
              </w:rPr>
              <w:t>partage de production</w:t>
            </w:r>
            <w:r w:rsidRPr="00234EAF">
              <w:rPr>
                <w:rFonts w:ascii="Times New Roman" w:hAnsi="Times New Roman" w:cs="Times New Roman"/>
                <w:bCs/>
                <w:sz w:val="22"/>
                <w:szCs w:val="22"/>
              </w:rPr>
              <w:t xml:space="preserve"> comme nouvel instrument fiscal.</w:t>
            </w:r>
          </w:p>
          <w:p w14:paraId="649F18D3" w14:textId="77777777" w:rsidR="007D2E26" w:rsidRPr="00234EAF" w:rsidRDefault="007D2E26" w:rsidP="002601DF">
            <w:pPr>
              <w:spacing w:after="40" w:line="276" w:lineRule="auto"/>
              <w:jc w:val="both"/>
              <w:rPr>
                <w:rFonts w:ascii="Times New Roman" w:hAnsi="Times New Roman" w:cs="Times New Roman"/>
                <w:bCs/>
                <w:sz w:val="22"/>
                <w:szCs w:val="22"/>
              </w:rPr>
            </w:pPr>
          </w:p>
        </w:tc>
      </w:tr>
      <w:tr w:rsidR="007D2E26" w:rsidRPr="00234EAF" w14:paraId="0AB88426" w14:textId="77777777" w:rsidTr="00234EAF">
        <w:tc>
          <w:tcPr>
            <w:tcW w:w="2269" w:type="dxa"/>
            <w:shd w:val="clear" w:color="auto" w:fill="E2EFD9"/>
            <w:hideMark/>
          </w:tcPr>
          <w:p w14:paraId="7334925F"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
                <w:bCs/>
                <w:sz w:val="22"/>
                <w:szCs w:val="22"/>
              </w:rPr>
              <w:t>Transactions minières</w:t>
            </w:r>
          </w:p>
        </w:tc>
        <w:tc>
          <w:tcPr>
            <w:tcW w:w="3969" w:type="dxa"/>
            <w:shd w:val="clear" w:color="auto" w:fill="E2EFD9"/>
            <w:hideMark/>
          </w:tcPr>
          <w:p w14:paraId="42E03F5F"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Cession soumise à avis des administrations.</w:t>
            </w:r>
            <w:r w:rsidRPr="00234EAF">
              <w:rPr>
                <w:rFonts w:ascii="Times New Roman" w:hAnsi="Times New Roman" w:cs="Times New Roman"/>
                <w:bCs/>
                <w:sz w:val="22"/>
                <w:szCs w:val="22"/>
              </w:rPr>
              <w:br/>
              <w:t>- Plus-value : prélèvement 10 %.</w:t>
            </w:r>
            <w:r w:rsidRPr="00234EAF">
              <w:rPr>
                <w:rFonts w:ascii="Times New Roman" w:hAnsi="Times New Roman" w:cs="Times New Roman"/>
                <w:bCs/>
                <w:sz w:val="22"/>
                <w:szCs w:val="22"/>
              </w:rPr>
              <w:br/>
              <w:t>- Cédant &amp; cessionnaire solidairement responsables.</w:t>
            </w:r>
            <w:r w:rsidRPr="00234EAF">
              <w:rPr>
                <w:rFonts w:ascii="Times New Roman" w:hAnsi="Times New Roman" w:cs="Times New Roman"/>
                <w:bCs/>
                <w:sz w:val="22"/>
                <w:szCs w:val="22"/>
              </w:rPr>
              <w:br/>
              <w:t>- Audit obligatoire, pleine concurrence.</w:t>
            </w:r>
          </w:p>
        </w:tc>
        <w:tc>
          <w:tcPr>
            <w:tcW w:w="4110" w:type="dxa"/>
            <w:shd w:val="clear" w:color="auto" w:fill="E2EFD9"/>
            <w:hideMark/>
          </w:tcPr>
          <w:p w14:paraId="2FEBF8E7"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xml:space="preserve">- Cession soumise à </w:t>
            </w:r>
            <w:r w:rsidRPr="00234EAF">
              <w:rPr>
                <w:rFonts w:ascii="Times New Roman" w:hAnsi="Times New Roman" w:cs="Times New Roman"/>
                <w:b/>
                <w:bCs/>
                <w:sz w:val="22"/>
                <w:szCs w:val="22"/>
              </w:rPr>
              <w:t>approbation préalable de l’État</w:t>
            </w:r>
            <w:r w:rsidRPr="00234EAF">
              <w:rPr>
                <w:rFonts w:ascii="Times New Roman" w:hAnsi="Times New Roman" w:cs="Times New Roman"/>
                <w:bCs/>
                <w:sz w:val="22"/>
                <w:szCs w:val="22"/>
              </w:rPr>
              <w:t>.</w:t>
            </w:r>
            <w:r w:rsidRPr="00234EAF">
              <w:rPr>
                <w:rFonts w:ascii="Times New Roman" w:hAnsi="Times New Roman" w:cs="Times New Roman"/>
                <w:bCs/>
                <w:sz w:val="22"/>
                <w:szCs w:val="22"/>
              </w:rPr>
              <w:br/>
              <w:t>- Plus-value : prélèvement 10 % confirmé.</w:t>
            </w:r>
            <w:r w:rsidRPr="00234EAF">
              <w:rPr>
                <w:rFonts w:ascii="Times New Roman" w:hAnsi="Times New Roman" w:cs="Times New Roman"/>
                <w:bCs/>
                <w:sz w:val="22"/>
                <w:szCs w:val="22"/>
              </w:rPr>
              <w:br/>
              <w:t xml:space="preserve">- </w:t>
            </w:r>
            <w:r w:rsidRPr="00234EAF">
              <w:rPr>
                <w:rFonts w:ascii="Times New Roman" w:hAnsi="Times New Roman" w:cs="Times New Roman"/>
                <w:b/>
                <w:bCs/>
                <w:sz w:val="22"/>
                <w:szCs w:val="22"/>
              </w:rPr>
              <w:t>Nouveau permis délivré</w:t>
            </w:r>
            <w:r w:rsidRPr="00234EAF">
              <w:rPr>
                <w:rFonts w:ascii="Times New Roman" w:hAnsi="Times New Roman" w:cs="Times New Roman"/>
                <w:bCs/>
                <w:sz w:val="22"/>
                <w:szCs w:val="22"/>
              </w:rPr>
              <w:t xml:space="preserve"> après cession.</w:t>
            </w:r>
            <w:r w:rsidRPr="00234EAF">
              <w:rPr>
                <w:rFonts w:ascii="Times New Roman" w:hAnsi="Times New Roman" w:cs="Times New Roman"/>
                <w:bCs/>
                <w:sz w:val="22"/>
                <w:szCs w:val="22"/>
              </w:rPr>
              <w:br/>
              <w:t xml:space="preserve">- </w:t>
            </w:r>
            <w:r w:rsidRPr="00234EAF">
              <w:rPr>
                <w:rFonts w:ascii="Times New Roman" w:hAnsi="Times New Roman" w:cs="Times New Roman"/>
                <w:b/>
                <w:bCs/>
                <w:sz w:val="22"/>
                <w:szCs w:val="22"/>
              </w:rPr>
              <w:t xml:space="preserve">Droit de préemption </w:t>
            </w:r>
            <w:proofErr w:type="gramStart"/>
            <w:r w:rsidRPr="00234EAF">
              <w:rPr>
                <w:rFonts w:ascii="Times New Roman" w:hAnsi="Times New Roman" w:cs="Times New Roman"/>
                <w:b/>
                <w:bCs/>
                <w:sz w:val="22"/>
                <w:szCs w:val="22"/>
              </w:rPr>
              <w:t>généralisé</w:t>
            </w:r>
            <w:proofErr w:type="gramEnd"/>
            <w:r w:rsidRPr="00234EAF">
              <w:rPr>
                <w:rFonts w:ascii="Times New Roman" w:hAnsi="Times New Roman" w:cs="Times New Roman"/>
                <w:bCs/>
                <w:sz w:val="22"/>
                <w:szCs w:val="22"/>
              </w:rPr>
              <w:t xml:space="preserve"> à l’État.</w:t>
            </w:r>
          </w:p>
        </w:tc>
      </w:tr>
      <w:tr w:rsidR="007D2E26" w:rsidRPr="00234EAF" w14:paraId="28B653E3" w14:textId="77777777" w:rsidTr="00234EAF">
        <w:tc>
          <w:tcPr>
            <w:tcW w:w="2269" w:type="dxa"/>
            <w:hideMark/>
          </w:tcPr>
          <w:p w14:paraId="63B24B31"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
                <w:bCs/>
                <w:sz w:val="22"/>
                <w:szCs w:val="22"/>
              </w:rPr>
              <w:t>Gouvernance &amp; transparence</w:t>
            </w:r>
          </w:p>
        </w:tc>
        <w:tc>
          <w:tcPr>
            <w:tcW w:w="3969" w:type="dxa"/>
            <w:hideMark/>
          </w:tcPr>
          <w:p w14:paraId="49FB8924"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ITIE pilier de gouvernance.</w:t>
            </w:r>
            <w:r w:rsidRPr="00234EAF">
              <w:rPr>
                <w:rFonts w:ascii="Times New Roman" w:hAnsi="Times New Roman" w:cs="Times New Roman"/>
                <w:bCs/>
                <w:sz w:val="22"/>
                <w:szCs w:val="22"/>
              </w:rPr>
              <w:br/>
              <w:t>- Obligation respect ITIE &amp; Kimberley.</w:t>
            </w:r>
            <w:r w:rsidRPr="00234EAF">
              <w:rPr>
                <w:rFonts w:ascii="Times New Roman" w:hAnsi="Times New Roman" w:cs="Times New Roman"/>
                <w:bCs/>
                <w:sz w:val="22"/>
                <w:szCs w:val="22"/>
              </w:rPr>
              <w:br/>
              <w:t>- Obligation de Traçabilité de l’or &amp; diamant.</w:t>
            </w:r>
            <w:r w:rsidRPr="00234EAF">
              <w:rPr>
                <w:rFonts w:ascii="Times New Roman" w:hAnsi="Times New Roman" w:cs="Times New Roman"/>
                <w:bCs/>
                <w:sz w:val="22"/>
                <w:szCs w:val="22"/>
              </w:rPr>
              <w:br/>
              <w:t>- Publication des décisions au JO.</w:t>
            </w:r>
            <w:r w:rsidRPr="00234EAF">
              <w:rPr>
                <w:rFonts w:ascii="Times New Roman" w:hAnsi="Times New Roman" w:cs="Times New Roman"/>
                <w:bCs/>
                <w:sz w:val="22"/>
                <w:szCs w:val="22"/>
              </w:rPr>
              <w:br/>
              <w:t>- Déclaration bénéficiaires effectifs ≥ 5 %.</w:t>
            </w:r>
            <w:r w:rsidRPr="00234EAF">
              <w:rPr>
                <w:rFonts w:ascii="Times New Roman" w:hAnsi="Times New Roman" w:cs="Times New Roman"/>
                <w:bCs/>
                <w:sz w:val="22"/>
                <w:szCs w:val="22"/>
              </w:rPr>
              <w:br/>
              <w:t>- Interdiction pour agents publics.</w:t>
            </w:r>
          </w:p>
        </w:tc>
        <w:tc>
          <w:tcPr>
            <w:tcW w:w="4110" w:type="dxa"/>
            <w:hideMark/>
          </w:tcPr>
          <w:p w14:paraId="51C90AF6"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ITIE confirmé + Kimberley (diamant précisé).</w:t>
            </w:r>
            <w:r w:rsidRPr="00234EAF">
              <w:rPr>
                <w:rFonts w:ascii="Times New Roman" w:hAnsi="Times New Roman" w:cs="Times New Roman"/>
                <w:bCs/>
                <w:sz w:val="22"/>
                <w:szCs w:val="22"/>
              </w:rPr>
              <w:br/>
              <w:t>- Obligation Traçabilité or &amp; diamant confirmée.</w:t>
            </w:r>
            <w:r w:rsidRPr="00234EAF">
              <w:rPr>
                <w:rFonts w:ascii="Times New Roman" w:hAnsi="Times New Roman" w:cs="Times New Roman"/>
                <w:bCs/>
                <w:sz w:val="22"/>
                <w:szCs w:val="22"/>
              </w:rPr>
              <w:br/>
              <w:t xml:space="preserve">- Déclaration élargie : </w:t>
            </w:r>
            <w:r w:rsidRPr="00234EAF">
              <w:rPr>
                <w:rFonts w:ascii="Times New Roman" w:hAnsi="Times New Roman" w:cs="Times New Roman"/>
                <w:b/>
                <w:bCs/>
                <w:sz w:val="22"/>
                <w:szCs w:val="22"/>
              </w:rPr>
              <w:t>actionnaires ≥ 5 %, filiales, sous-traitants, directeurs et cadres</w:t>
            </w:r>
            <w:r w:rsidRPr="00234EAF">
              <w:rPr>
                <w:rFonts w:ascii="Times New Roman" w:hAnsi="Times New Roman" w:cs="Times New Roman"/>
                <w:bCs/>
                <w:sz w:val="22"/>
                <w:szCs w:val="22"/>
              </w:rPr>
              <w:t>.</w:t>
            </w:r>
            <w:r w:rsidRPr="00234EAF">
              <w:rPr>
                <w:rFonts w:ascii="Times New Roman" w:hAnsi="Times New Roman" w:cs="Times New Roman"/>
                <w:bCs/>
                <w:sz w:val="22"/>
                <w:szCs w:val="22"/>
              </w:rPr>
              <w:br/>
              <w:t xml:space="preserve">- Interdiction confirmée + </w:t>
            </w:r>
            <w:r w:rsidRPr="00234EAF">
              <w:rPr>
                <w:rFonts w:ascii="Times New Roman" w:hAnsi="Times New Roman" w:cs="Times New Roman"/>
                <w:b/>
                <w:bCs/>
                <w:sz w:val="22"/>
                <w:szCs w:val="22"/>
              </w:rPr>
              <w:t>sanctions prévues</w:t>
            </w:r>
            <w:r w:rsidRPr="00234EAF">
              <w:rPr>
                <w:rFonts w:ascii="Times New Roman" w:hAnsi="Times New Roman" w:cs="Times New Roman"/>
                <w:bCs/>
                <w:sz w:val="22"/>
                <w:szCs w:val="22"/>
              </w:rPr>
              <w:t>.</w:t>
            </w:r>
            <w:r w:rsidRPr="00234EAF">
              <w:rPr>
                <w:rFonts w:ascii="Times New Roman" w:hAnsi="Times New Roman" w:cs="Times New Roman"/>
                <w:bCs/>
                <w:sz w:val="22"/>
                <w:szCs w:val="22"/>
              </w:rPr>
              <w:br/>
              <w:t>- Publication des décisions au JO</w:t>
            </w:r>
          </w:p>
        </w:tc>
      </w:tr>
      <w:tr w:rsidR="007D2E26" w:rsidRPr="00234EAF" w14:paraId="1DA17A96" w14:textId="77777777" w:rsidTr="00234EAF">
        <w:tc>
          <w:tcPr>
            <w:tcW w:w="2269" w:type="dxa"/>
            <w:shd w:val="clear" w:color="auto" w:fill="E2EFD9"/>
            <w:hideMark/>
          </w:tcPr>
          <w:p w14:paraId="75BD011B"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
                <w:bCs/>
                <w:sz w:val="22"/>
                <w:szCs w:val="22"/>
              </w:rPr>
              <w:t>Convention minière</w:t>
            </w:r>
          </w:p>
        </w:tc>
        <w:tc>
          <w:tcPr>
            <w:tcW w:w="3969" w:type="dxa"/>
            <w:shd w:val="clear" w:color="auto" w:fill="E2EFD9"/>
            <w:hideMark/>
          </w:tcPr>
          <w:p w14:paraId="6EE05A3F"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Basée sur un modèle-type réglementaire.</w:t>
            </w:r>
            <w:r w:rsidRPr="00234EAF">
              <w:rPr>
                <w:rFonts w:ascii="Times New Roman" w:hAnsi="Times New Roman" w:cs="Times New Roman"/>
                <w:bCs/>
                <w:sz w:val="22"/>
                <w:szCs w:val="22"/>
              </w:rPr>
              <w:br/>
              <w:t>- Contenu détaillé : droits, obligations, participation État, contenu local, transformation ≥ 15 %.</w:t>
            </w:r>
          </w:p>
        </w:tc>
        <w:tc>
          <w:tcPr>
            <w:tcW w:w="4110" w:type="dxa"/>
            <w:shd w:val="clear" w:color="auto" w:fill="E2EFD9"/>
            <w:hideMark/>
          </w:tcPr>
          <w:p w14:paraId="2FF32364"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xml:space="preserve">- Négociée dans un </w:t>
            </w:r>
            <w:r w:rsidRPr="00234EAF">
              <w:rPr>
                <w:rFonts w:ascii="Times New Roman" w:hAnsi="Times New Roman" w:cs="Times New Roman"/>
                <w:b/>
                <w:bCs/>
                <w:sz w:val="22"/>
                <w:szCs w:val="22"/>
              </w:rPr>
              <w:t>cadre géré par un organisme public mandaté</w:t>
            </w:r>
            <w:r w:rsidRPr="00234EAF">
              <w:rPr>
                <w:rFonts w:ascii="Times New Roman" w:hAnsi="Times New Roman" w:cs="Times New Roman"/>
                <w:bCs/>
                <w:sz w:val="22"/>
                <w:szCs w:val="22"/>
              </w:rPr>
              <w:t>.</w:t>
            </w:r>
            <w:r w:rsidRPr="00234EAF">
              <w:rPr>
                <w:rFonts w:ascii="Times New Roman" w:hAnsi="Times New Roman" w:cs="Times New Roman"/>
                <w:bCs/>
                <w:sz w:val="22"/>
                <w:szCs w:val="22"/>
              </w:rPr>
              <w:br/>
              <w:t xml:space="preserve">- Intègre : </w:t>
            </w:r>
            <w:r w:rsidRPr="00234EAF">
              <w:rPr>
                <w:rFonts w:ascii="Times New Roman" w:hAnsi="Times New Roman" w:cs="Times New Roman"/>
                <w:b/>
                <w:bCs/>
                <w:sz w:val="22"/>
                <w:szCs w:val="22"/>
              </w:rPr>
              <w:t>audit recherche, remboursement dépenses, modèle économique &amp; financier, partage de production, clés de répartition, royalties, suivi/contrôle</w:t>
            </w:r>
            <w:r w:rsidRPr="00234EAF">
              <w:rPr>
                <w:rFonts w:ascii="Times New Roman" w:hAnsi="Times New Roman" w:cs="Times New Roman"/>
                <w:bCs/>
                <w:sz w:val="22"/>
                <w:szCs w:val="22"/>
              </w:rPr>
              <w:t>.</w:t>
            </w:r>
          </w:p>
        </w:tc>
      </w:tr>
      <w:tr w:rsidR="007D2E26" w:rsidRPr="00234EAF" w14:paraId="2814384B" w14:textId="77777777" w:rsidTr="00234EAF">
        <w:tc>
          <w:tcPr>
            <w:tcW w:w="2269" w:type="dxa"/>
            <w:hideMark/>
          </w:tcPr>
          <w:p w14:paraId="56E89C5D"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
                <w:bCs/>
                <w:sz w:val="22"/>
                <w:szCs w:val="22"/>
              </w:rPr>
              <w:t>Politique minière &amp; développement local</w:t>
            </w:r>
          </w:p>
        </w:tc>
        <w:tc>
          <w:tcPr>
            <w:tcW w:w="3969" w:type="dxa"/>
            <w:hideMark/>
          </w:tcPr>
          <w:p w14:paraId="34C38DC1"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Trois fonds (développement, réhabilitation, capacités locales).</w:t>
            </w:r>
            <w:r w:rsidRPr="00234EAF">
              <w:rPr>
                <w:rFonts w:ascii="Times New Roman" w:hAnsi="Times New Roman" w:cs="Times New Roman"/>
                <w:bCs/>
                <w:sz w:val="22"/>
                <w:szCs w:val="22"/>
              </w:rPr>
              <w:br/>
              <w:t>- Compte spécial de développement des capacités locales : contribution 0,5–1 % CA HT (sociétés minières).</w:t>
            </w:r>
            <w:r w:rsidRPr="00234EAF">
              <w:rPr>
                <w:rFonts w:ascii="Times New Roman" w:hAnsi="Times New Roman" w:cs="Times New Roman"/>
                <w:bCs/>
                <w:sz w:val="22"/>
                <w:szCs w:val="22"/>
              </w:rPr>
              <w:br/>
              <w:t>- Contenu local exigé.</w:t>
            </w:r>
          </w:p>
        </w:tc>
        <w:tc>
          <w:tcPr>
            <w:tcW w:w="4110" w:type="dxa"/>
            <w:hideMark/>
          </w:tcPr>
          <w:p w14:paraId="4D21E327"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Trois fonds confirmés (gestion Banque centrale, exonération fiscale pour réhabilitation).</w:t>
            </w:r>
            <w:r w:rsidRPr="00234EAF">
              <w:rPr>
                <w:rFonts w:ascii="Times New Roman" w:hAnsi="Times New Roman" w:cs="Times New Roman"/>
                <w:bCs/>
                <w:sz w:val="22"/>
                <w:szCs w:val="22"/>
              </w:rPr>
              <w:br/>
              <w:t xml:space="preserve">- Compte spécial de développement des capacités locales : 0,5–1 % CA HT, </w:t>
            </w:r>
            <w:r w:rsidRPr="00234EAF">
              <w:rPr>
                <w:rFonts w:ascii="Times New Roman" w:hAnsi="Times New Roman" w:cs="Times New Roman"/>
                <w:b/>
                <w:bCs/>
                <w:sz w:val="22"/>
                <w:szCs w:val="22"/>
              </w:rPr>
              <w:t>étendu aux carrières</w:t>
            </w:r>
            <w:r w:rsidRPr="00234EAF">
              <w:rPr>
                <w:rFonts w:ascii="Times New Roman" w:hAnsi="Times New Roman" w:cs="Times New Roman"/>
                <w:bCs/>
                <w:sz w:val="22"/>
                <w:szCs w:val="22"/>
              </w:rPr>
              <w:t>.</w:t>
            </w:r>
            <w:r w:rsidRPr="00234EAF">
              <w:rPr>
                <w:rFonts w:ascii="Times New Roman" w:hAnsi="Times New Roman" w:cs="Times New Roman"/>
                <w:bCs/>
                <w:sz w:val="22"/>
                <w:szCs w:val="22"/>
              </w:rPr>
              <w:br/>
              <w:t xml:space="preserve">- Contenu local détaillé : emploi nationaux, </w:t>
            </w:r>
            <w:r w:rsidRPr="00234EAF">
              <w:rPr>
                <w:rFonts w:ascii="Times New Roman" w:hAnsi="Times New Roman" w:cs="Times New Roman"/>
                <w:bCs/>
                <w:sz w:val="22"/>
                <w:szCs w:val="22"/>
              </w:rPr>
              <w:lastRenderedPageBreak/>
              <w:t>formation, PME locales, communautés autochtones.</w:t>
            </w:r>
          </w:p>
        </w:tc>
      </w:tr>
      <w:tr w:rsidR="007D2E26" w:rsidRPr="00234EAF" w14:paraId="0EB5369C" w14:textId="77777777" w:rsidTr="00234EAF">
        <w:tc>
          <w:tcPr>
            <w:tcW w:w="2269" w:type="dxa"/>
            <w:shd w:val="clear" w:color="auto" w:fill="E2EFD9"/>
            <w:hideMark/>
          </w:tcPr>
          <w:p w14:paraId="2AC06904"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
                <w:bCs/>
                <w:sz w:val="22"/>
                <w:szCs w:val="22"/>
              </w:rPr>
              <w:lastRenderedPageBreak/>
              <w:t>Participation de l’État &amp; Partage de production</w:t>
            </w:r>
          </w:p>
        </w:tc>
        <w:tc>
          <w:tcPr>
            <w:tcW w:w="3969" w:type="dxa"/>
            <w:shd w:val="clear" w:color="auto" w:fill="E2EFD9"/>
            <w:hideMark/>
          </w:tcPr>
          <w:p w14:paraId="32899B24"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Petite mine : 10 % gratuits + 10 % à l’achat.</w:t>
            </w:r>
            <w:r w:rsidRPr="00234EAF">
              <w:rPr>
                <w:rFonts w:ascii="Times New Roman" w:hAnsi="Times New Roman" w:cs="Times New Roman"/>
                <w:bCs/>
                <w:sz w:val="22"/>
                <w:szCs w:val="22"/>
              </w:rPr>
              <w:br/>
              <w:t>- Mine industrielle : 10 % gratuits + 25 % à l’achat.</w:t>
            </w:r>
            <w:r w:rsidRPr="00234EAF">
              <w:rPr>
                <w:rFonts w:ascii="Times New Roman" w:hAnsi="Times New Roman" w:cs="Times New Roman"/>
                <w:bCs/>
                <w:sz w:val="22"/>
                <w:szCs w:val="22"/>
              </w:rPr>
              <w:br/>
              <w:t>- Droit de préemption en cas de cession.</w:t>
            </w:r>
            <w:r w:rsidRPr="00234EAF">
              <w:rPr>
                <w:rFonts w:ascii="Times New Roman" w:hAnsi="Times New Roman" w:cs="Times New Roman"/>
                <w:bCs/>
                <w:sz w:val="22"/>
                <w:szCs w:val="22"/>
              </w:rPr>
              <w:br/>
              <w:t>- Pas de partage de production (sauf artisanal semi-mécanisé : impôt synthétique 25 %).</w:t>
            </w:r>
          </w:p>
        </w:tc>
        <w:tc>
          <w:tcPr>
            <w:tcW w:w="4110" w:type="dxa"/>
            <w:shd w:val="clear" w:color="auto" w:fill="E2EFD9"/>
            <w:hideMark/>
          </w:tcPr>
          <w:p w14:paraId="64118200"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Petite mine : 10 % gratuits + 10 % à l’achat.</w:t>
            </w:r>
            <w:r w:rsidRPr="00234EAF">
              <w:rPr>
                <w:rFonts w:ascii="Times New Roman" w:hAnsi="Times New Roman" w:cs="Times New Roman"/>
                <w:bCs/>
                <w:sz w:val="22"/>
                <w:szCs w:val="22"/>
              </w:rPr>
              <w:br/>
              <w:t>- Mine industrielle : 10 % gratuits + 25 % à l’achat.</w:t>
            </w:r>
            <w:r w:rsidRPr="00234EAF">
              <w:rPr>
                <w:rFonts w:ascii="Times New Roman" w:hAnsi="Times New Roman" w:cs="Times New Roman"/>
                <w:bCs/>
                <w:sz w:val="22"/>
                <w:szCs w:val="22"/>
              </w:rPr>
              <w:br/>
              <w:t>- Gestion centralisée via un organisme public.</w:t>
            </w:r>
            <w:r w:rsidRPr="00234EAF">
              <w:rPr>
                <w:rFonts w:ascii="Times New Roman" w:hAnsi="Times New Roman" w:cs="Times New Roman"/>
                <w:bCs/>
                <w:sz w:val="22"/>
                <w:szCs w:val="22"/>
              </w:rPr>
              <w:br/>
              <w:t xml:space="preserve">- </w:t>
            </w:r>
            <w:r w:rsidRPr="00234EAF">
              <w:rPr>
                <w:rFonts w:ascii="Times New Roman" w:hAnsi="Times New Roman" w:cs="Times New Roman"/>
                <w:b/>
                <w:bCs/>
                <w:sz w:val="22"/>
                <w:szCs w:val="22"/>
              </w:rPr>
              <w:t>Partage de production introduit</w:t>
            </w:r>
            <w:r w:rsidRPr="00234EAF">
              <w:rPr>
                <w:rFonts w:ascii="Times New Roman" w:hAnsi="Times New Roman" w:cs="Times New Roman"/>
                <w:bCs/>
                <w:sz w:val="22"/>
                <w:szCs w:val="22"/>
              </w:rPr>
              <w:t xml:space="preserve"> : 1–5 % (précieuses), 2–15 % (autres).</w:t>
            </w:r>
          </w:p>
        </w:tc>
      </w:tr>
      <w:tr w:rsidR="007D2E26" w:rsidRPr="00234EAF" w14:paraId="0F0B5D71" w14:textId="77777777" w:rsidTr="00234EAF">
        <w:tc>
          <w:tcPr>
            <w:tcW w:w="2269" w:type="dxa"/>
            <w:hideMark/>
          </w:tcPr>
          <w:p w14:paraId="58FCB4C5"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
                <w:bCs/>
                <w:sz w:val="22"/>
                <w:szCs w:val="22"/>
              </w:rPr>
              <w:t>Stabilité fiscale &amp; douanière</w:t>
            </w:r>
          </w:p>
        </w:tc>
        <w:tc>
          <w:tcPr>
            <w:tcW w:w="3969" w:type="dxa"/>
            <w:hideMark/>
          </w:tcPr>
          <w:p w14:paraId="71AFC8F3"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Stabilité garantie (taxe ad valorem, redevances, exonérations).</w:t>
            </w:r>
            <w:r w:rsidRPr="00234EAF">
              <w:rPr>
                <w:rFonts w:ascii="Times New Roman" w:hAnsi="Times New Roman" w:cs="Times New Roman"/>
                <w:bCs/>
                <w:sz w:val="22"/>
                <w:szCs w:val="22"/>
              </w:rPr>
              <w:br/>
              <w:t>- Durée : permis de recherche = toute la durée ; carrières = durée initiale ; exploitation = durée nécessaire pour TRI 15 %, max. 15 ans.</w:t>
            </w:r>
            <w:r w:rsidRPr="00234EAF">
              <w:rPr>
                <w:rFonts w:ascii="Times New Roman" w:hAnsi="Times New Roman" w:cs="Times New Roman"/>
                <w:bCs/>
                <w:sz w:val="22"/>
                <w:szCs w:val="22"/>
              </w:rPr>
              <w:br/>
              <w:t>- Interdiction de cumuler des avantages de phases différentes.</w:t>
            </w:r>
          </w:p>
        </w:tc>
        <w:tc>
          <w:tcPr>
            <w:tcW w:w="4110" w:type="dxa"/>
            <w:hideMark/>
          </w:tcPr>
          <w:p w14:paraId="7FBCF4E1" w14:textId="77777777" w:rsidR="007D2E26" w:rsidRPr="00234EAF" w:rsidRDefault="007D2E26" w:rsidP="002601DF">
            <w:pPr>
              <w:spacing w:after="40" w:line="276" w:lineRule="auto"/>
              <w:jc w:val="both"/>
              <w:rPr>
                <w:rFonts w:ascii="Times New Roman" w:hAnsi="Times New Roman" w:cs="Times New Roman"/>
                <w:bCs/>
                <w:sz w:val="22"/>
                <w:szCs w:val="22"/>
              </w:rPr>
            </w:pPr>
            <w:r w:rsidRPr="00234EAF">
              <w:rPr>
                <w:rFonts w:ascii="Times New Roman" w:hAnsi="Times New Roman" w:cs="Times New Roman"/>
                <w:bCs/>
                <w:sz w:val="22"/>
                <w:szCs w:val="22"/>
              </w:rPr>
              <w:t>- Même schéma : stabilité confirmée.</w:t>
            </w:r>
            <w:r w:rsidRPr="00234EAF">
              <w:rPr>
                <w:rFonts w:ascii="Times New Roman" w:hAnsi="Times New Roman" w:cs="Times New Roman"/>
                <w:bCs/>
                <w:sz w:val="22"/>
                <w:szCs w:val="22"/>
              </w:rPr>
              <w:br/>
              <w:t>- Durée et plafonds identiques (TRI 15 %, max. 15 ans).</w:t>
            </w:r>
            <w:r w:rsidRPr="00234EAF">
              <w:rPr>
                <w:rFonts w:ascii="Times New Roman" w:hAnsi="Times New Roman" w:cs="Times New Roman"/>
                <w:bCs/>
                <w:sz w:val="22"/>
                <w:szCs w:val="22"/>
              </w:rPr>
              <w:br/>
              <w:t>- Interdiction de cumul confirmée.</w:t>
            </w:r>
          </w:p>
        </w:tc>
      </w:tr>
    </w:tbl>
    <w:p w14:paraId="2DAB0E43" w14:textId="77777777" w:rsidR="007D2E26" w:rsidRPr="00DC200B" w:rsidRDefault="007D2E26" w:rsidP="002601DF">
      <w:pPr>
        <w:spacing w:line="276" w:lineRule="auto"/>
        <w:ind w:left="360"/>
        <w:jc w:val="both"/>
        <w:rPr>
          <w:rFonts w:ascii="Times New Roman" w:hAnsi="Times New Roman" w:cs="Times New Roman"/>
          <w:b/>
          <w:bCs/>
          <w:sz w:val="24"/>
          <w:szCs w:val="24"/>
        </w:rPr>
      </w:pPr>
    </w:p>
    <w:p w14:paraId="6A790A75" w14:textId="77777777" w:rsidR="00DC200B" w:rsidRDefault="00DC200B" w:rsidP="002601DF">
      <w:pPr>
        <w:spacing w:line="276" w:lineRule="auto"/>
        <w:ind w:left="360"/>
        <w:jc w:val="both"/>
        <w:rPr>
          <w:rFonts w:ascii="Times New Roman" w:hAnsi="Times New Roman" w:cs="Times New Roman"/>
          <w:sz w:val="24"/>
          <w:szCs w:val="24"/>
        </w:rPr>
      </w:pPr>
    </w:p>
    <w:p w14:paraId="1E244210" w14:textId="77777777" w:rsidR="00DC200B" w:rsidRDefault="00DC200B" w:rsidP="002601DF">
      <w:pPr>
        <w:spacing w:line="276" w:lineRule="auto"/>
        <w:ind w:left="360"/>
        <w:jc w:val="both"/>
        <w:rPr>
          <w:rFonts w:ascii="Times New Roman" w:hAnsi="Times New Roman" w:cs="Times New Roman"/>
          <w:sz w:val="24"/>
          <w:szCs w:val="24"/>
        </w:rPr>
      </w:pPr>
    </w:p>
    <w:p w14:paraId="5D7E2CE5" w14:textId="77777777" w:rsidR="00DC200B" w:rsidRDefault="00DC200B" w:rsidP="002601DF">
      <w:pPr>
        <w:spacing w:line="276" w:lineRule="auto"/>
        <w:ind w:left="360"/>
        <w:jc w:val="both"/>
        <w:rPr>
          <w:rFonts w:ascii="Times New Roman" w:hAnsi="Times New Roman" w:cs="Times New Roman"/>
          <w:sz w:val="24"/>
          <w:szCs w:val="24"/>
        </w:rPr>
      </w:pPr>
    </w:p>
    <w:p w14:paraId="7024027B" w14:textId="77777777" w:rsidR="00DC200B" w:rsidRDefault="00DC200B" w:rsidP="002601DF">
      <w:pPr>
        <w:spacing w:line="276" w:lineRule="auto"/>
        <w:jc w:val="both"/>
        <w:rPr>
          <w:rFonts w:ascii="Times New Roman" w:hAnsi="Times New Roman" w:cs="Times New Roman"/>
          <w:sz w:val="24"/>
          <w:szCs w:val="24"/>
        </w:rPr>
      </w:pPr>
    </w:p>
    <w:p w14:paraId="76DEDF35" w14:textId="77777777" w:rsidR="00234EAF" w:rsidRDefault="00234EAF" w:rsidP="002601DF">
      <w:pPr>
        <w:spacing w:line="276" w:lineRule="auto"/>
        <w:jc w:val="both"/>
        <w:rPr>
          <w:rFonts w:ascii="Times New Roman" w:hAnsi="Times New Roman" w:cs="Times New Roman"/>
          <w:sz w:val="24"/>
          <w:szCs w:val="24"/>
        </w:rPr>
      </w:pPr>
    </w:p>
    <w:p w14:paraId="5F25D9C8" w14:textId="77777777" w:rsidR="00234EAF" w:rsidRDefault="00234EAF" w:rsidP="002601DF">
      <w:pPr>
        <w:spacing w:line="276" w:lineRule="auto"/>
        <w:jc w:val="both"/>
        <w:rPr>
          <w:rFonts w:ascii="Times New Roman" w:hAnsi="Times New Roman" w:cs="Times New Roman"/>
          <w:sz w:val="24"/>
          <w:szCs w:val="24"/>
        </w:rPr>
      </w:pPr>
    </w:p>
    <w:p w14:paraId="4A20AC4A" w14:textId="77777777" w:rsidR="00234EAF" w:rsidRDefault="00234EAF" w:rsidP="002601DF">
      <w:pPr>
        <w:spacing w:line="276" w:lineRule="auto"/>
        <w:jc w:val="both"/>
        <w:rPr>
          <w:rFonts w:ascii="Times New Roman" w:hAnsi="Times New Roman" w:cs="Times New Roman"/>
          <w:sz w:val="24"/>
          <w:szCs w:val="24"/>
        </w:rPr>
      </w:pPr>
    </w:p>
    <w:p w14:paraId="627E7C88" w14:textId="77777777" w:rsidR="00234EAF" w:rsidRDefault="00234EAF" w:rsidP="002601DF">
      <w:pPr>
        <w:spacing w:line="276" w:lineRule="auto"/>
        <w:jc w:val="both"/>
        <w:rPr>
          <w:rFonts w:ascii="Times New Roman" w:hAnsi="Times New Roman" w:cs="Times New Roman"/>
          <w:sz w:val="24"/>
          <w:szCs w:val="24"/>
        </w:rPr>
      </w:pPr>
    </w:p>
    <w:p w14:paraId="297C4B98" w14:textId="77777777" w:rsidR="00234EAF" w:rsidRDefault="00234EAF" w:rsidP="002601DF">
      <w:pPr>
        <w:spacing w:line="276" w:lineRule="auto"/>
        <w:jc w:val="both"/>
        <w:rPr>
          <w:rFonts w:ascii="Times New Roman" w:hAnsi="Times New Roman" w:cs="Times New Roman"/>
          <w:sz w:val="24"/>
          <w:szCs w:val="24"/>
        </w:rPr>
      </w:pPr>
    </w:p>
    <w:p w14:paraId="206CC60F" w14:textId="77777777" w:rsidR="00234EAF" w:rsidRDefault="00234EAF" w:rsidP="002601DF">
      <w:pPr>
        <w:spacing w:line="276" w:lineRule="auto"/>
        <w:jc w:val="both"/>
        <w:rPr>
          <w:rFonts w:ascii="Times New Roman" w:hAnsi="Times New Roman" w:cs="Times New Roman"/>
          <w:sz w:val="24"/>
          <w:szCs w:val="24"/>
        </w:rPr>
      </w:pPr>
    </w:p>
    <w:p w14:paraId="07F6FE00" w14:textId="77777777" w:rsidR="00234EAF" w:rsidRDefault="00234EAF" w:rsidP="002601DF">
      <w:pPr>
        <w:spacing w:line="276" w:lineRule="auto"/>
        <w:jc w:val="both"/>
        <w:rPr>
          <w:rFonts w:ascii="Times New Roman" w:hAnsi="Times New Roman" w:cs="Times New Roman"/>
          <w:sz w:val="24"/>
          <w:szCs w:val="24"/>
        </w:rPr>
      </w:pPr>
    </w:p>
    <w:p w14:paraId="297B0398" w14:textId="77777777" w:rsidR="00234EAF" w:rsidRDefault="00234EAF" w:rsidP="002601DF">
      <w:pPr>
        <w:spacing w:line="276" w:lineRule="auto"/>
        <w:jc w:val="both"/>
        <w:rPr>
          <w:rFonts w:ascii="Times New Roman" w:hAnsi="Times New Roman" w:cs="Times New Roman"/>
          <w:sz w:val="24"/>
          <w:szCs w:val="24"/>
        </w:rPr>
      </w:pPr>
    </w:p>
    <w:p w14:paraId="6F459D88" w14:textId="77777777" w:rsidR="00234EAF" w:rsidRDefault="00234EAF" w:rsidP="002601DF">
      <w:pPr>
        <w:spacing w:line="276" w:lineRule="auto"/>
        <w:jc w:val="both"/>
        <w:rPr>
          <w:rFonts w:ascii="Times New Roman" w:hAnsi="Times New Roman" w:cs="Times New Roman"/>
          <w:sz w:val="24"/>
          <w:szCs w:val="24"/>
        </w:rPr>
      </w:pPr>
    </w:p>
    <w:p w14:paraId="5CB956E7" w14:textId="77777777" w:rsidR="00234EAF" w:rsidRDefault="00234EAF" w:rsidP="002601DF">
      <w:pPr>
        <w:spacing w:line="276" w:lineRule="auto"/>
        <w:jc w:val="both"/>
        <w:rPr>
          <w:rFonts w:ascii="Times New Roman" w:hAnsi="Times New Roman" w:cs="Times New Roman"/>
          <w:sz w:val="24"/>
          <w:szCs w:val="24"/>
        </w:rPr>
      </w:pPr>
    </w:p>
    <w:p w14:paraId="4D47B65B" w14:textId="77777777" w:rsidR="00234EAF" w:rsidRDefault="00234EAF" w:rsidP="002601DF">
      <w:pPr>
        <w:spacing w:line="276" w:lineRule="auto"/>
        <w:jc w:val="both"/>
        <w:rPr>
          <w:rFonts w:ascii="Times New Roman" w:hAnsi="Times New Roman" w:cs="Times New Roman"/>
          <w:sz w:val="24"/>
          <w:szCs w:val="24"/>
        </w:rPr>
      </w:pPr>
    </w:p>
    <w:p w14:paraId="4C43CB52" w14:textId="77777777" w:rsidR="00234EAF" w:rsidRPr="00D85FA0" w:rsidRDefault="00234EAF" w:rsidP="002601DF">
      <w:pPr>
        <w:spacing w:line="276" w:lineRule="auto"/>
        <w:jc w:val="both"/>
        <w:rPr>
          <w:rFonts w:ascii="Times New Roman" w:hAnsi="Times New Roman" w:cs="Times New Roman"/>
          <w:sz w:val="24"/>
          <w:szCs w:val="24"/>
        </w:rPr>
      </w:pPr>
    </w:p>
    <w:p w14:paraId="75A3D3CC" w14:textId="5FDBDA02" w:rsidR="00EA7DD6" w:rsidRPr="00234EAF" w:rsidRDefault="00560766" w:rsidP="00234EAF">
      <w:pPr>
        <w:pStyle w:val="Paragraphedeliste"/>
        <w:numPr>
          <w:ilvl w:val="0"/>
          <w:numId w:val="12"/>
        </w:numPr>
        <w:spacing w:line="276" w:lineRule="auto"/>
        <w:ind w:left="0" w:firstLine="0"/>
        <w:jc w:val="center"/>
        <w:rPr>
          <w:rFonts w:ascii="Times New Roman" w:hAnsi="Times New Roman" w:cs="Times New Roman"/>
          <w:b/>
          <w:bCs/>
          <w:sz w:val="28"/>
          <w:szCs w:val="24"/>
        </w:rPr>
      </w:pPr>
      <w:r w:rsidRPr="00234EAF">
        <w:rPr>
          <w:rFonts w:ascii="Times New Roman" w:hAnsi="Times New Roman" w:cs="Times New Roman"/>
          <w:b/>
          <w:bCs/>
          <w:sz w:val="28"/>
          <w:szCs w:val="24"/>
        </w:rPr>
        <w:lastRenderedPageBreak/>
        <w:t>PERSPECTIVES</w:t>
      </w:r>
    </w:p>
    <w:p w14:paraId="6EB26949" w14:textId="77777777" w:rsidR="00DD6497" w:rsidRPr="00DD6497" w:rsidRDefault="00DD6497" w:rsidP="00234EAF">
      <w:pPr>
        <w:pStyle w:val="Paragraphedeliste"/>
        <w:spacing w:line="360" w:lineRule="auto"/>
        <w:ind w:left="1440"/>
        <w:jc w:val="both"/>
        <w:rPr>
          <w:rFonts w:ascii="Times New Roman" w:hAnsi="Times New Roman" w:cs="Times New Roman"/>
          <w:sz w:val="24"/>
          <w:szCs w:val="24"/>
        </w:rPr>
      </w:pPr>
    </w:p>
    <w:p w14:paraId="769BC867" w14:textId="78286F75" w:rsidR="00DD6497" w:rsidRDefault="00DD6497" w:rsidP="00234EAF">
      <w:pPr>
        <w:pStyle w:val="Paragraphedeliste"/>
        <w:spacing w:line="360" w:lineRule="auto"/>
        <w:ind w:left="0"/>
        <w:jc w:val="both"/>
        <w:rPr>
          <w:rFonts w:ascii="Times New Roman" w:hAnsi="Times New Roman" w:cs="Times New Roman"/>
          <w:sz w:val="24"/>
          <w:szCs w:val="24"/>
        </w:rPr>
      </w:pPr>
      <w:r w:rsidRPr="00DD6497">
        <w:rPr>
          <w:rFonts w:ascii="Times New Roman" w:hAnsi="Times New Roman" w:cs="Times New Roman"/>
          <w:sz w:val="24"/>
          <w:szCs w:val="24"/>
        </w:rPr>
        <w:t xml:space="preserve">Le projet transfrontalier </w:t>
      </w:r>
      <w:r>
        <w:rPr>
          <w:rFonts w:ascii="Times New Roman" w:hAnsi="Times New Roman" w:cs="Times New Roman"/>
          <w:sz w:val="24"/>
          <w:szCs w:val="24"/>
        </w:rPr>
        <w:t xml:space="preserve">d’exploitation du champ </w:t>
      </w:r>
      <w:r w:rsidR="00D52472">
        <w:rPr>
          <w:rFonts w:ascii="Times New Roman" w:hAnsi="Times New Roman" w:cs="Times New Roman"/>
          <w:sz w:val="24"/>
          <w:szCs w:val="24"/>
        </w:rPr>
        <w:t>g</w:t>
      </w:r>
      <w:r>
        <w:rPr>
          <w:rFonts w:ascii="Times New Roman" w:hAnsi="Times New Roman" w:cs="Times New Roman"/>
          <w:sz w:val="24"/>
          <w:szCs w:val="24"/>
        </w:rPr>
        <w:t>azier YOYO-YOLANDA entre le Cameroun et la Guinée Equatoriale (84% et 16%) dont les réserves sont es</w:t>
      </w:r>
      <w:r w:rsidR="00D52472">
        <w:rPr>
          <w:rFonts w:ascii="Times New Roman" w:hAnsi="Times New Roman" w:cs="Times New Roman"/>
          <w:sz w:val="24"/>
          <w:szCs w:val="24"/>
        </w:rPr>
        <w:t>timées à 2500 milliards de pieds de cubes de gaz naturel et l’investissement est évalué à 4 milliards de dollars.</w:t>
      </w:r>
    </w:p>
    <w:p w14:paraId="7EDF8EFB" w14:textId="2922E412" w:rsidR="00D52472" w:rsidRPr="00DD6497" w:rsidRDefault="00D52472" w:rsidP="00234EAF">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L’apport dans le PIB des grands projets miniers entrés en production effective depuis la fin de 2025 et le début de 2026.</w:t>
      </w:r>
    </w:p>
    <w:sectPr w:rsidR="00D52472" w:rsidRPr="00DD649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FC2F3" w14:textId="77777777" w:rsidR="00E1122E" w:rsidRDefault="00E1122E" w:rsidP="00E02109">
      <w:pPr>
        <w:spacing w:after="0" w:line="240" w:lineRule="auto"/>
      </w:pPr>
      <w:r>
        <w:separator/>
      </w:r>
    </w:p>
  </w:endnote>
  <w:endnote w:type="continuationSeparator" w:id="0">
    <w:p w14:paraId="26741EB8" w14:textId="77777777" w:rsidR="00E1122E" w:rsidRDefault="00E1122E" w:rsidP="00E0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Kohinoor Devanagari">
    <w:altName w:val="Nirmala UI"/>
    <w:panose1 w:val="00000000000000000000"/>
    <w:charset w:val="00"/>
    <w:family w:val="modern"/>
    <w:notTrueType/>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283511"/>
      <w:docPartObj>
        <w:docPartGallery w:val="Page Numbers (Bottom of Page)"/>
        <w:docPartUnique/>
      </w:docPartObj>
    </w:sdtPr>
    <w:sdtContent>
      <w:p w14:paraId="07B0BA37" w14:textId="58881AAC" w:rsidR="00234EAF" w:rsidRDefault="00234EAF">
        <w:pPr>
          <w:pStyle w:val="Pieddepage"/>
          <w:jc w:val="right"/>
        </w:pPr>
        <w:r>
          <w:fldChar w:fldCharType="begin"/>
        </w:r>
        <w:r>
          <w:instrText>PAGE   \* MERGEFORMAT</w:instrText>
        </w:r>
        <w:r>
          <w:fldChar w:fldCharType="separate"/>
        </w:r>
        <w:r>
          <w:rPr>
            <w:noProof/>
          </w:rPr>
          <w:t>8</w:t>
        </w:r>
        <w:r>
          <w:fldChar w:fldCharType="end"/>
        </w:r>
      </w:p>
    </w:sdtContent>
  </w:sdt>
  <w:p w14:paraId="300F257D" w14:textId="77777777" w:rsidR="00234EAF" w:rsidRDefault="00234E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6BCD4" w14:textId="77777777" w:rsidR="00E1122E" w:rsidRDefault="00E1122E" w:rsidP="00E02109">
      <w:pPr>
        <w:spacing w:after="0" w:line="240" w:lineRule="auto"/>
      </w:pPr>
      <w:r>
        <w:separator/>
      </w:r>
    </w:p>
  </w:footnote>
  <w:footnote w:type="continuationSeparator" w:id="0">
    <w:p w14:paraId="4454BE10" w14:textId="77777777" w:rsidR="00E1122E" w:rsidRDefault="00E1122E" w:rsidP="00E02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52B1"/>
    <w:multiLevelType w:val="hybridMultilevel"/>
    <w:tmpl w:val="701C5498"/>
    <w:lvl w:ilvl="0" w:tplc="266422D2">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6563AD"/>
    <w:multiLevelType w:val="hybridMultilevel"/>
    <w:tmpl w:val="07BE62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D503A5"/>
    <w:multiLevelType w:val="hybridMultilevel"/>
    <w:tmpl w:val="AFF6FC72"/>
    <w:lvl w:ilvl="0" w:tplc="73F62F7A">
      <w:start w:val="1"/>
      <w:numFmt w:val="bullet"/>
      <w:lvlText w:val="-"/>
      <w:lvlJc w:val="left"/>
      <w:pPr>
        <w:ind w:left="1211" w:hanging="360"/>
      </w:pPr>
      <w:rPr>
        <w:rFonts w:ascii="Times New Roman" w:eastAsiaTheme="minorHAns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nsid w:val="1C4537B8"/>
    <w:multiLevelType w:val="multilevel"/>
    <w:tmpl w:val="6F9E8CCA"/>
    <w:lvl w:ilvl="0">
      <w:start w:val="1"/>
      <w:numFmt w:val="decimal"/>
      <w:lvlText w:val="%1."/>
      <w:lvlJc w:val="left"/>
      <w:pPr>
        <w:ind w:left="2088" w:hanging="360"/>
      </w:pPr>
      <w:rPr>
        <w:rFonts w:hint="default"/>
        <w:color w:val="FFFFFF" w:themeColor="background1"/>
      </w:rPr>
    </w:lvl>
    <w:lvl w:ilvl="1">
      <w:start w:val="1"/>
      <w:numFmt w:val="decimal"/>
      <w:lvlText w:val="%1.%2."/>
      <w:lvlJc w:val="left"/>
      <w:pPr>
        <w:ind w:left="2520" w:hanging="432"/>
      </w:pPr>
      <w:rPr>
        <w:rFonts w:hint="default"/>
      </w:rPr>
    </w:lvl>
    <w:lvl w:ilvl="2">
      <w:start w:val="1"/>
      <w:numFmt w:val="decimal"/>
      <w:lvlText w:val="%1.%2.%3."/>
      <w:lvlJc w:val="left"/>
      <w:pPr>
        <w:ind w:left="3509" w:hanging="504"/>
      </w:pPr>
      <w:rPr>
        <w:rFonts w:hint="default"/>
        <w:b/>
        <w:bCs/>
        <w:color w:val="47626F"/>
        <w:sz w:val="20"/>
        <w:szCs w:val="20"/>
      </w:rPr>
    </w:lvl>
    <w:lvl w:ilvl="3">
      <w:start w:val="1"/>
      <w:numFmt w:val="decimal"/>
      <w:lvlText w:val="%1.%2.%3.%4."/>
      <w:lvlJc w:val="left"/>
      <w:pPr>
        <w:ind w:left="3456" w:hanging="648"/>
      </w:pPr>
      <w:rPr>
        <w:rFonts w:hint="default"/>
        <w:b/>
        <w:bCs w:val="0"/>
        <w:i w:val="0"/>
        <w:iCs w:val="0"/>
        <w:color w:val="0070C0"/>
        <w:sz w:val="20"/>
        <w:szCs w:val="20"/>
      </w:rPr>
    </w:lvl>
    <w:lvl w:ilvl="4">
      <w:start w:val="1"/>
      <w:numFmt w:val="decimal"/>
      <w:lvlText w:val="%1.%2.%3.%4.%5."/>
      <w:lvlJc w:val="left"/>
      <w:pPr>
        <w:ind w:left="3960" w:hanging="792"/>
      </w:pPr>
      <w:rPr>
        <w:rFonts w:hint="default"/>
      </w:rPr>
    </w:lvl>
    <w:lvl w:ilvl="5">
      <w:start w:val="1"/>
      <w:numFmt w:val="decimal"/>
      <w:lvlText w:val="%1.%2.%3.%4.%5.%6."/>
      <w:lvlJc w:val="left"/>
      <w:pPr>
        <w:ind w:left="4464" w:hanging="936"/>
      </w:pPr>
      <w:rPr>
        <w:rFonts w:hint="default"/>
      </w:rPr>
    </w:lvl>
    <w:lvl w:ilvl="6">
      <w:start w:val="1"/>
      <w:numFmt w:val="decimal"/>
      <w:lvlText w:val="%1.%2.%3.%4.%5.%6.%7."/>
      <w:lvlJc w:val="left"/>
      <w:pPr>
        <w:ind w:left="4968" w:hanging="1080"/>
      </w:pPr>
      <w:rPr>
        <w:rFonts w:hint="default"/>
      </w:rPr>
    </w:lvl>
    <w:lvl w:ilvl="7">
      <w:start w:val="1"/>
      <w:numFmt w:val="decimal"/>
      <w:lvlText w:val="%1.%2.%3.%4.%5.%6.%7.%8."/>
      <w:lvlJc w:val="left"/>
      <w:pPr>
        <w:ind w:left="5472" w:hanging="1224"/>
      </w:pPr>
      <w:rPr>
        <w:rFonts w:hint="default"/>
      </w:rPr>
    </w:lvl>
    <w:lvl w:ilvl="8">
      <w:start w:val="1"/>
      <w:numFmt w:val="decimal"/>
      <w:lvlText w:val="%1.%2.%3.%4.%5.%6.%7.%8.%9."/>
      <w:lvlJc w:val="left"/>
      <w:pPr>
        <w:ind w:left="6048" w:hanging="1440"/>
      </w:pPr>
      <w:rPr>
        <w:rFonts w:hint="default"/>
      </w:rPr>
    </w:lvl>
  </w:abstractNum>
  <w:abstractNum w:abstractNumId="4">
    <w:nsid w:val="1FE67262"/>
    <w:multiLevelType w:val="hybridMultilevel"/>
    <w:tmpl w:val="30DA8F4C"/>
    <w:lvl w:ilvl="0" w:tplc="6CB0F2C0">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A0C287B"/>
    <w:multiLevelType w:val="hybridMultilevel"/>
    <w:tmpl w:val="7736F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197077"/>
    <w:multiLevelType w:val="multilevel"/>
    <w:tmpl w:val="CB5AE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64617B"/>
    <w:multiLevelType w:val="hybridMultilevel"/>
    <w:tmpl w:val="0E9E158E"/>
    <w:lvl w:ilvl="0" w:tplc="C390EAE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8B80AE0"/>
    <w:multiLevelType w:val="hybridMultilevel"/>
    <w:tmpl w:val="6F2A3C32"/>
    <w:lvl w:ilvl="0" w:tplc="8F96D77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C636E1"/>
    <w:multiLevelType w:val="multilevel"/>
    <w:tmpl w:val="3FEE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6A2693"/>
    <w:multiLevelType w:val="multilevel"/>
    <w:tmpl w:val="E710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CA7171"/>
    <w:multiLevelType w:val="hybridMultilevel"/>
    <w:tmpl w:val="84B45304"/>
    <w:lvl w:ilvl="0" w:tplc="266422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EA862B1"/>
    <w:multiLevelType w:val="hybridMultilevel"/>
    <w:tmpl w:val="D13EE46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79921C19"/>
    <w:multiLevelType w:val="hybridMultilevel"/>
    <w:tmpl w:val="5A40B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2"/>
  </w:num>
  <w:num w:numId="5">
    <w:abstractNumId w:val="9"/>
  </w:num>
  <w:num w:numId="6">
    <w:abstractNumId w:val="13"/>
  </w:num>
  <w:num w:numId="7">
    <w:abstractNumId w:val="6"/>
  </w:num>
  <w:num w:numId="8">
    <w:abstractNumId w:val="3"/>
  </w:num>
  <w:num w:numId="9">
    <w:abstractNumId w:val="1"/>
  </w:num>
  <w:num w:numId="10">
    <w:abstractNumId w:val="12"/>
  </w:num>
  <w:num w:numId="11">
    <w:abstractNumId w:val="10"/>
  </w:num>
  <w:num w:numId="12">
    <w:abstractNumId w:val="4"/>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6C"/>
    <w:rsid w:val="00007E71"/>
    <w:rsid w:val="0003201B"/>
    <w:rsid w:val="0006289F"/>
    <w:rsid w:val="00077FEC"/>
    <w:rsid w:val="00091E01"/>
    <w:rsid w:val="00134E67"/>
    <w:rsid w:val="00167F37"/>
    <w:rsid w:val="00234EAF"/>
    <w:rsid w:val="002601DF"/>
    <w:rsid w:val="002A2DCC"/>
    <w:rsid w:val="00355BF7"/>
    <w:rsid w:val="00442D1F"/>
    <w:rsid w:val="004B2DBA"/>
    <w:rsid w:val="00560766"/>
    <w:rsid w:val="005F1420"/>
    <w:rsid w:val="00673E38"/>
    <w:rsid w:val="00766F31"/>
    <w:rsid w:val="007D2E26"/>
    <w:rsid w:val="007F3B87"/>
    <w:rsid w:val="008A385A"/>
    <w:rsid w:val="008E5EF2"/>
    <w:rsid w:val="00934518"/>
    <w:rsid w:val="00975942"/>
    <w:rsid w:val="009B49EA"/>
    <w:rsid w:val="00A44983"/>
    <w:rsid w:val="00A87F29"/>
    <w:rsid w:val="00AA2D6C"/>
    <w:rsid w:val="00B875DF"/>
    <w:rsid w:val="00BF5684"/>
    <w:rsid w:val="00C001BC"/>
    <w:rsid w:val="00CD47AF"/>
    <w:rsid w:val="00CE351E"/>
    <w:rsid w:val="00D52472"/>
    <w:rsid w:val="00D85FA0"/>
    <w:rsid w:val="00DC200B"/>
    <w:rsid w:val="00DD6497"/>
    <w:rsid w:val="00E02109"/>
    <w:rsid w:val="00E1122E"/>
    <w:rsid w:val="00E543B7"/>
    <w:rsid w:val="00EA28B0"/>
    <w:rsid w:val="00EA7DD6"/>
    <w:rsid w:val="00F01D1C"/>
    <w:rsid w:val="00F52802"/>
    <w:rsid w:val="00F802CF"/>
    <w:rsid w:val="00F94F59"/>
    <w:rsid w:val="00FC7A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622E"/>
  <w15:chartTrackingRefBased/>
  <w15:docId w15:val="{EE2BE9D2-2A41-4ECE-B66D-80A85DA9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E021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Titre2"/>
    <w:next w:val="Normal"/>
    <w:link w:val="Titre3Car"/>
    <w:uiPriority w:val="9"/>
    <w:unhideWhenUsed/>
    <w:qFormat/>
    <w:rsid w:val="00E02109"/>
    <w:pPr>
      <w:numPr>
        <w:ilvl w:val="2"/>
      </w:numPr>
      <w:autoSpaceDE w:val="0"/>
      <w:autoSpaceDN w:val="0"/>
      <w:adjustRightInd w:val="0"/>
      <w:spacing w:before="0" w:after="200" w:line="240" w:lineRule="auto"/>
      <w:jc w:val="both"/>
      <w:outlineLvl w:val="2"/>
    </w:pPr>
    <w:rPr>
      <w:rFonts w:ascii="Kohinoor Devanagari" w:eastAsia="Times New Roman" w:hAnsi="Kohinoor Devanagari" w:cs="Kohinoor Devanagari"/>
      <w:b/>
      <w:bCs/>
      <w:color w:val="47626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e 1,Aufzählung Spiegelstrich,Dot pt,F5 List Paragraph,Colorful List - Accent 11,List Paragraph Char Char Char,Indicator Text,Numbered Para 1,Bullet 1,Bullet Points,List Paragraph2,MAIN CONTENT,Titre1,References,Arial,Ha"/>
    <w:basedOn w:val="Normal"/>
    <w:link w:val="ParagraphedelisteCar"/>
    <w:uiPriority w:val="34"/>
    <w:qFormat/>
    <w:rsid w:val="00AA2D6C"/>
    <w:pPr>
      <w:ind w:left="720"/>
      <w:contextualSpacing/>
    </w:pPr>
  </w:style>
  <w:style w:type="paragraph" w:styleId="NormalWeb">
    <w:name w:val="Normal (Web)"/>
    <w:basedOn w:val="Normal"/>
    <w:uiPriority w:val="99"/>
    <w:unhideWhenUsed/>
    <w:rsid w:val="00E021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02109"/>
    <w:rPr>
      <w:b/>
      <w:bCs/>
    </w:rPr>
  </w:style>
  <w:style w:type="character" w:customStyle="1" w:styleId="Titre3Car">
    <w:name w:val="Titre 3 Car"/>
    <w:basedOn w:val="Policepardfaut"/>
    <w:link w:val="Titre3"/>
    <w:uiPriority w:val="9"/>
    <w:rsid w:val="00E02109"/>
    <w:rPr>
      <w:rFonts w:ascii="Kohinoor Devanagari" w:eastAsia="Times New Roman" w:hAnsi="Kohinoor Devanagari" w:cs="Kohinoor Devanagari"/>
      <w:b/>
      <w:bCs/>
      <w:color w:val="47626F"/>
      <w:sz w:val="18"/>
      <w:szCs w:val="18"/>
    </w:rPr>
  </w:style>
  <w:style w:type="character" w:customStyle="1" w:styleId="ParagraphedelisteCar">
    <w:name w:val="Paragraphe de liste Car"/>
    <w:aliases w:val="Bullets Car,Liste 1 Car,Aufzählung Spiegelstrich Car,Dot pt Car,F5 List Paragraph Car,Colorful List - Accent 11 Car,List Paragraph Char Char Char Car,Indicator Text Car,Numbered Para 1 Car,Bullet 1 Car,Bullet Points Car,Arial Car"/>
    <w:link w:val="Paragraphedeliste"/>
    <w:uiPriority w:val="34"/>
    <w:qFormat/>
    <w:rsid w:val="00E02109"/>
  </w:style>
  <w:style w:type="paragraph" w:styleId="Notedebasdepage">
    <w:name w:val="footnote text"/>
    <w:aliases w:val="FOOTNOTES,fn,single space,footnote text,Char Char Char,Char Char,Footnote Text Char1,Footnote Text Char2 Char,Footnote Text Char1 Char Char,Footnote Text Char2 Char Char Char,Footnote Text Char1 Char Char Char Char,tex"/>
    <w:basedOn w:val="Normal"/>
    <w:link w:val="NotedebasdepageCar"/>
    <w:uiPriority w:val="99"/>
    <w:unhideWhenUsed/>
    <w:qFormat/>
    <w:rsid w:val="00E02109"/>
    <w:pPr>
      <w:autoSpaceDE w:val="0"/>
      <w:autoSpaceDN w:val="0"/>
      <w:adjustRightInd w:val="0"/>
      <w:spacing w:after="0" w:line="240" w:lineRule="auto"/>
    </w:pPr>
    <w:rPr>
      <w:rFonts w:ascii="Times New Roman" w:hAnsi="Times New Roman" w:cs="Times New Roman"/>
      <w:sz w:val="20"/>
      <w:szCs w:val="20"/>
    </w:rPr>
  </w:style>
  <w:style w:type="character" w:customStyle="1" w:styleId="NotedebasdepageCar">
    <w:name w:val="Note de bas de page Car"/>
    <w:aliases w:val="FOOTNOTES Car,fn Car,single space Car,footnote text Car,Char Char Char Car,Char Char Car,Footnote Text Char1 Car,Footnote Text Char2 Char Car,Footnote Text Char1 Char Char Car,Footnote Text Char2 Char Char Char Car,tex Car"/>
    <w:basedOn w:val="Policepardfaut"/>
    <w:link w:val="Notedebasdepage"/>
    <w:uiPriority w:val="99"/>
    <w:rsid w:val="00E02109"/>
    <w:rPr>
      <w:rFonts w:ascii="Times New Roman" w:hAnsi="Times New Roman" w:cs="Times New Roman"/>
      <w:sz w:val="20"/>
      <w:szCs w:val="20"/>
    </w:rPr>
  </w:style>
  <w:style w:type="character" w:styleId="Appelnotedebasdep">
    <w:name w:val="footnote reference"/>
    <w:aliases w:val="Error-Fußnotenzeichen5,Error-Fußnotenzeichen6,Error-Fußnotenzeichen3,Estilo de nota al pie de Africa,Footnote Reference1,ftref,Footnote Reference Number,referencia nota al pie,Char Char Char Char Car Char,Ref,de nota al pie"/>
    <w:basedOn w:val="Policepardfaut"/>
    <w:uiPriority w:val="99"/>
    <w:unhideWhenUsed/>
    <w:rsid w:val="00E02109"/>
    <w:rPr>
      <w:vertAlign w:val="superscript"/>
    </w:rPr>
  </w:style>
  <w:style w:type="character" w:customStyle="1" w:styleId="Titre2Car">
    <w:name w:val="Titre 2 Car"/>
    <w:basedOn w:val="Policepardfaut"/>
    <w:link w:val="Titre2"/>
    <w:uiPriority w:val="9"/>
    <w:semiHidden/>
    <w:rsid w:val="00E02109"/>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EA7DD6"/>
    <w:rPr>
      <w:color w:val="0563C1" w:themeColor="hyperlink"/>
      <w:u w:val="single"/>
    </w:rPr>
  </w:style>
  <w:style w:type="character" w:customStyle="1" w:styleId="UnresolvedMention">
    <w:name w:val="Unresolved Mention"/>
    <w:basedOn w:val="Policepardfaut"/>
    <w:uiPriority w:val="99"/>
    <w:semiHidden/>
    <w:unhideWhenUsed/>
    <w:rsid w:val="00EA7DD6"/>
    <w:rPr>
      <w:color w:val="605E5C"/>
      <w:shd w:val="clear" w:color="auto" w:fill="E1DFDD"/>
    </w:rPr>
  </w:style>
  <w:style w:type="character" w:styleId="Lienhypertextesuivivisit">
    <w:name w:val="FollowedHyperlink"/>
    <w:basedOn w:val="Policepardfaut"/>
    <w:uiPriority w:val="99"/>
    <w:semiHidden/>
    <w:unhideWhenUsed/>
    <w:rsid w:val="00EA7DD6"/>
    <w:rPr>
      <w:color w:val="954F72" w:themeColor="followedHyperlink"/>
      <w:u w:val="single"/>
    </w:rPr>
  </w:style>
  <w:style w:type="table" w:styleId="Grilledutableau">
    <w:name w:val="Table Grid"/>
    <w:aliases w:val="IPG Table 1"/>
    <w:basedOn w:val="TableauNormal"/>
    <w:uiPriority w:val="39"/>
    <w:qFormat/>
    <w:rsid w:val="007D2E2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234EAF"/>
    <w:pPr>
      <w:tabs>
        <w:tab w:val="center" w:pos="4536"/>
        <w:tab w:val="right" w:pos="9072"/>
      </w:tabs>
      <w:spacing w:after="0" w:line="240" w:lineRule="auto"/>
    </w:pPr>
  </w:style>
  <w:style w:type="character" w:customStyle="1" w:styleId="En-tteCar">
    <w:name w:val="En-tête Car"/>
    <w:basedOn w:val="Policepardfaut"/>
    <w:link w:val="En-tte"/>
    <w:uiPriority w:val="99"/>
    <w:rsid w:val="00234EAF"/>
  </w:style>
  <w:style w:type="paragraph" w:styleId="Pieddepage">
    <w:name w:val="footer"/>
    <w:basedOn w:val="Normal"/>
    <w:link w:val="PieddepageCar"/>
    <w:uiPriority w:val="99"/>
    <w:unhideWhenUsed/>
    <w:rsid w:val="00234E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4EAF"/>
  </w:style>
  <w:style w:type="paragraph" w:styleId="Textedebulles">
    <w:name w:val="Balloon Text"/>
    <w:basedOn w:val="Normal"/>
    <w:link w:val="TextedebullesCar"/>
    <w:uiPriority w:val="99"/>
    <w:semiHidden/>
    <w:unhideWhenUsed/>
    <w:rsid w:val="00234E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4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206">
      <w:bodyDiv w:val="1"/>
      <w:marLeft w:val="0"/>
      <w:marRight w:val="0"/>
      <w:marTop w:val="0"/>
      <w:marBottom w:val="0"/>
      <w:divBdr>
        <w:top w:val="none" w:sz="0" w:space="0" w:color="auto"/>
        <w:left w:val="none" w:sz="0" w:space="0" w:color="auto"/>
        <w:bottom w:val="none" w:sz="0" w:space="0" w:color="auto"/>
        <w:right w:val="none" w:sz="0" w:space="0" w:color="auto"/>
      </w:divBdr>
      <w:divsChild>
        <w:div w:id="370612359">
          <w:marLeft w:val="0"/>
          <w:marRight w:val="0"/>
          <w:marTop w:val="0"/>
          <w:marBottom w:val="0"/>
          <w:divBdr>
            <w:top w:val="none" w:sz="0" w:space="0" w:color="auto"/>
            <w:left w:val="none" w:sz="0" w:space="0" w:color="auto"/>
            <w:bottom w:val="none" w:sz="0" w:space="0" w:color="auto"/>
            <w:right w:val="none" w:sz="0" w:space="0" w:color="auto"/>
          </w:divBdr>
        </w:div>
        <w:div w:id="1126393821">
          <w:marLeft w:val="0"/>
          <w:marRight w:val="0"/>
          <w:marTop w:val="0"/>
          <w:marBottom w:val="0"/>
          <w:divBdr>
            <w:top w:val="none" w:sz="0" w:space="0" w:color="auto"/>
            <w:left w:val="none" w:sz="0" w:space="0" w:color="auto"/>
            <w:bottom w:val="none" w:sz="0" w:space="0" w:color="auto"/>
            <w:right w:val="none" w:sz="0" w:space="0" w:color="auto"/>
          </w:divBdr>
        </w:div>
        <w:div w:id="1057317930">
          <w:marLeft w:val="0"/>
          <w:marRight w:val="0"/>
          <w:marTop w:val="0"/>
          <w:marBottom w:val="0"/>
          <w:divBdr>
            <w:top w:val="none" w:sz="0" w:space="0" w:color="auto"/>
            <w:left w:val="none" w:sz="0" w:space="0" w:color="auto"/>
            <w:bottom w:val="none" w:sz="0" w:space="0" w:color="auto"/>
            <w:right w:val="none" w:sz="0" w:space="0" w:color="auto"/>
          </w:divBdr>
        </w:div>
        <w:div w:id="972364060">
          <w:marLeft w:val="0"/>
          <w:marRight w:val="0"/>
          <w:marTop w:val="0"/>
          <w:marBottom w:val="0"/>
          <w:divBdr>
            <w:top w:val="none" w:sz="0" w:space="0" w:color="auto"/>
            <w:left w:val="none" w:sz="0" w:space="0" w:color="auto"/>
            <w:bottom w:val="none" w:sz="0" w:space="0" w:color="auto"/>
            <w:right w:val="none" w:sz="0" w:space="0" w:color="auto"/>
          </w:divBdr>
        </w:div>
        <w:div w:id="1175025816">
          <w:marLeft w:val="0"/>
          <w:marRight w:val="0"/>
          <w:marTop w:val="0"/>
          <w:marBottom w:val="0"/>
          <w:divBdr>
            <w:top w:val="none" w:sz="0" w:space="0" w:color="auto"/>
            <w:left w:val="none" w:sz="0" w:space="0" w:color="auto"/>
            <w:bottom w:val="none" w:sz="0" w:space="0" w:color="auto"/>
            <w:right w:val="none" w:sz="0" w:space="0" w:color="auto"/>
          </w:divBdr>
        </w:div>
        <w:div w:id="76291599">
          <w:marLeft w:val="0"/>
          <w:marRight w:val="0"/>
          <w:marTop w:val="0"/>
          <w:marBottom w:val="0"/>
          <w:divBdr>
            <w:top w:val="none" w:sz="0" w:space="0" w:color="auto"/>
            <w:left w:val="none" w:sz="0" w:space="0" w:color="auto"/>
            <w:bottom w:val="none" w:sz="0" w:space="0" w:color="auto"/>
            <w:right w:val="none" w:sz="0" w:space="0" w:color="auto"/>
          </w:divBdr>
        </w:div>
        <w:div w:id="591935675">
          <w:marLeft w:val="0"/>
          <w:marRight w:val="0"/>
          <w:marTop w:val="0"/>
          <w:marBottom w:val="0"/>
          <w:divBdr>
            <w:top w:val="none" w:sz="0" w:space="0" w:color="auto"/>
            <w:left w:val="none" w:sz="0" w:space="0" w:color="auto"/>
            <w:bottom w:val="none" w:sz="0" w:space="0" w:color="auto"/>
            <w:right w:val="none" w:sz="0" w:space="0" w:color="auto"/>
          </w:divBdr>
        </w:div>
        <w:div w:id="1965043056">
          <w:marLeft w:val="0"/>
          <w:marRight w:val="0"/>
          <w:marTop w:val="0"/>
          <w:marBottom w:val="0"/>
          <w:divBdr>
            <w:top w:val="none" w:sz="0" w:space="0" w:color="auto"/>
            <w:left w:val="none" w:sz="0" w:space="0" w:color="auto"/>
            <w:bottom w:val="none" w:sz="0" w:space="0" w:color="auto"/>
            <w:right w:val="none" w:sz="0" w:space="0" w:color="auto"/>
          </w:divBdr>
        </w:div>
        <w:div w:id="782575034">
          <w:marLeft w:val="0"/>
          <w:marRight w:val="0"/>
          <w:marTop w:val="0"/>
          <w:marBottom w:val="0"/>
          <w:divBdr>
            <w:top w:val="none" w:sz="0" w:space="0" w:color="auto"/>
            <w:left w:val="none" w:sz="0" w:space="0" w:color="auto"/>
            <w:bottom w:val="none" w:sz="0" w:space="0" w:color="auto"/>
            <w:right w:val="none" w:sz="0" w:space="0" w:color="auto"/>
          </w:divBdr>
        </w:div>
        <w:div w:id="254901447">
          <w:marLeft w:val="0"/>
          <w:marRight w:val="0"/>
          <w:marTop w:val="0"/>
          <w:marBottom w:val="0"/>
          <w:divBdr>
            <w:top w:val="none" w:sz="0" w:space="0" w:color="auto"/>
            <w:left w:val="none" w:sz="0" w:space="0" w:color="auto"/>
            <w:bottom w:val="none" w:sz="0" w:space="0" w:color="auto"/>
            <w:right w:val="none" w:sz="0" w:space="0" w:color="auto"/>
          </w:divBdr>
          <w:divsChild>
            <w:div w:id="2088771757">
              <w:marLeft w:val="0"/>
              <w:marRight w:val="0"/>
              <w:marTop w:val="0"/>
              <w:marBottom w:val="0"/>
              <w:divBdr>
                <w:top w:val="none" w:sz="0" w:space="0" w:color="auto"/>
                <w:left w:val="none" w:sz="0" w:space="0" w:color="auto"/>
                <w:bottom w:val="none" w:sz="0" w:space="0" w:color="auto"/>
                <w:right w:val="none" w:sz="0" w:space="0" w:color="auto"/>
              </w:divBdr>
              <w:divsChild>
                <w:div w:id="1952973624">
                  <w:marLeft w:val="0"/>
                  <w:marRight w:val="0"/>
                  <w:marTop w:val="0"/>
                  <w:marBottom w:val="0"/>
                  <w:divBdr>
                    <w:top w:val="none" w:sz="0" w:space="0" w:color="auto"/>
                    <w:left w:val="none" w:sz="0" w:space="0" w:color="auto"/>
                    <w:bottom w:val="none" w:sz="0" w:space="0" w:color="auto"/>
                    <w:right w:val="none" w:sz="0" w:space="0" w:color="auto"/>
                  </w:divBdr>
                  <w:divsChild>
                    <w:div w:id="16167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0539">
      <w:bodyDiv w:val="1"/>
      <w:marLeft w:val="0"/>
      <w:marRight w:val="0"/>
      <w:marTop w:val="0"/>
      <w:marBottom w:val="0"/>
      <w:divBdr>
        <w:top w:val="none" w:sz="0" w:space="0" w:color="auto"/>
        <w:left w:val="none" w:sz="0" w:space="0" w:color="auto"/>
        <w:bottom w:val="none" w:sz="0" w:space="0" w:color="auto"/>
        <w:right w:val="none" w:sz="0" w:space="0" w:color="auto"/>
      </w:divBdr>
      <w:divsChild>
        <w:div w:id="1178538541">
          <w:marLeft w:val="0"/>
          <w:marRight w:val="0"/>
          <w:marTop w:val="0"/>
          <w:marBottom w:val="0"/>
          <w:divBdr>
            <w:top w:val="none" w:sz="0" w:space="0" w:color="auto"/>
            <w:left w:val="none" w:sz="0" w:space="0" w:color="auto"/>
            <w:bottom w:val="none" w:sz="0" w:space="0" w:color="auto"/>
            <w:right w:val="none" w:sz="0" w:space="0" w:color="auto"/>
          </w:divBdr>
        </w:div>
        <w:div w:id="1893997303">
          <w:marLeft w:val="0"/>
          <w:marRight w:val="0"/>
          <w:marTop w:val="0"/>
          <w:marBottom w:val="0"/>
          <w:divBdr>
            <w:top w:val="none" w:sz="0" w:space="0" w:color="auto"/>
            <w:left w:val="none" w:sz="0" w:space="0" w:color="auto"/>
            <w:bottom w:val="none" w:sz="0" w:space="0" w:color="auto"/>
            <w:right w:val="none" w:sz="0" w:space="0" w:color="auto"/>
          </w:divBdr>
        </w:div>
        <w:div w:id="2016955365">
          <w:marLeft w:val="0"/>
          <w:marRight w:val="0"/>
          <w:marTop w:val="0"/>
          <w:marBottom w:val="0"/>
          <w:divBdr>
            <w:top w:val="none" w:sz="0" w:space="0" w:color="auto"/>
            <w:left w:val="none" w:sz="0" w:space="0" w:color="auto"/>
            <w:bottom w:val="none" w:sz="0" w:space="0" w:color="auto"/>
            <w:right w:val="none" w:sz="0" w:space="0" w:color="auto"/>
          </w:divBdr>
        </w:div>
        <w:div w:id="763721182">
          <w:marLeft w:val="0"/>
          <w:marRight w:val="0"/>
          <w:marTop w:val="0"/>
          <w:marBottom w:val="0"/>
          <w:divBdr>
            <w:top w:val="none" w:sz="0" w:space="0" w:color="auto"/>
            <w:left w:val="none" w:sz="0" w:space="0" w:color="auto"/>
            <w:bottom w:val="none" w:sz="0" w:space="0" w:color="auto"/>
            <w:right w:val="none" w:sz="0" w:space="0" w:color="auto"/>
          </w:divBdr>
        </w:div>
        <w:div w:id="1609585343">
          <w:marLeft w:val="0"/>
          <w:marRight w:val="0"/>
          <w:marTop w:val="0"/>
          <w:marBottom w:val="0"/>
          <w:divBdr>
            <w:top w:val="none" w:sz="0" w:space="0" w:color="auto"/>
            <w:left w:val="none" w:sz="0" w:space="0" w:color="auto"/>
            <w:bottom w:val="none" w:sz="0" w:space="0" w:color="auto"/>
            <w:right w:val="none" w:sz="0" w:space="0" w:color="auto"/>
          </w:divBdr>
        </w:div>
        <w:div w:id="2006278300">
          <w:marLeft w:val="0"/>
          <w:marRight w:val="0"/>
          <w:marTop w:val="0"/>
          <w:marBottom w:val="0"/>
          <w:divBdr>
            <w:top w:val="none" w:sz="0" w:space="0" w:color="auto"/>
            <w:left w:val="none" w:sz="0" w:space="0" w:color="auto"/>
            <w:bottom w:val="none" w:sz="0" w:space="0" w:color="auto"/>
            <w:right w:val="none" w:sz="0" w:space="0" w:color="auto"/>
          </w:divBdr>
        </w:div>
        <w:div w:id="1403411013">
          <w:marLeft w:val="0"/>
          <w:marRight w:val="0"/>
          <w:marTop w:val="0"/>
          <w:marBottom w:val="0"/>
          <w:divBdr>
            <w:top w:val="none" w:sz="0" w:space="0" w:color="auto"/>
            <w:left w:val="none" w:sz="0" w:space="0" w:color="auto"/>
            <w:bottom w:val="none" w:sz="0" w:space="0" w:color="auto"/>
            <w:right w:val="none" w:sz="0" w:space="0" w:color="auto"/>
          </w:divBdr>
        </w:div>
        <w:div w:id="431900686">
          <w:marLeft w:val="0"/>
          <w:marRight w:val="0"/>
          <w:marTop w:val="0"/>
          <w:marBottom w:val="0"/>
          <w:divBdr>
            <w:top w:val="none" w:sz="0" w:space="0" w:color="auto"/>
            <w:left w:val="none" w:sz="0" w:space="0" w:color="auto"/>
            <w:bottom w:val="none" w:sz="0" w:space="0" w:color="auto"/>
            <w:right w:val="none" w:sz="0" w:space="0" w:color="auto"/>
          </w:divBdr>
        </w:div>
        <w:div w:id="1682514634">
          <w:marLeft w:val="0"/>
          <w:marRight w:val="0"/>
          <w:marTop w:val="0"/>
          <w:marBottom w:val="0"/>
          <w:divBdr>
            <w:top w:val="none" w:sz="0" w:space="0" w:color="auto"/>
            <w:left w:val="none" w:sz="0" w:space="0" w:color="auto"/>
            <w:bottom w:val="none" w:sz="0" w:space="0" w:color="auto"/>
            <w:right w:val="none" w:sz="0" w:space="0" w:color="auto"/>
          </w:divBdr>
        </w:div>
        <w:div w:id="877818293">
          <w:marLeft w:val="0"/>
          <w:marRight w:val="0"/>
          <w:marTop w:val="0"/>
          <w:marBottom w:val="0"/>
          <w:divBdr>
            <w:top w:val="none" w:sz="0" w:space="0" w:color="auto"/>
            <w:left w:val="none" w:sz="0" w:space="0" w:color="auto"/>
            <w:bottom w:val="none" w:sz="0" w:space="0" w:color="auto"/>
            <w:right w:val="none" w:sz="0" w:space="0" w:color="auto"/>
          </w:divBdr>
          <w:divsChild>
            <w:div w:id="1005670594">
              <w:marLeft w:val="0"/>
              <w:marRight w:val="0"/>
              <w:marTop w:val="0"/>
              <w:marBottom w:val="0"/>
              <w:divBdr>
                <w:top w:val="none" w:sz="0" w:space="0" w:color="auto"/>
                <w:left w:val="none" w:sz="0" w:space="0" w:color="auto"/>
                <w:bottom w:val="none" w:sz="0" w:space="0" w:color="auto"/>
                <w:right w:val="none" w:sz="0" w:space="0" w:color="auto"/>
              </w:divBdr>
              <w:divsChild>
                <w:div w:id="122315504">
                  <w:marLeft w:val="0"/>
                  <w:marRight w:val="0"/>
                  <w:marTop w:val="0"/>
                  <w:marBottom w:val="0"/>
                  <w:divBdr>
                    <w:top w:val="none" w:sz="0" w:space="0" w:color="auto"/>
                    <w:left w:val="none" w:sz="0" w:space="0" w:color="auto"/>
                    <w:bottom w:val="none" w:sz="0" w:space="0" w:color="auto"/>
                    <w:right w:val="none" w:sz="0" w:space="0" w:color="auto"/>
                  </w:divBdr>
                  <w:divsChild>
                    <w:div w:id="2011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B899-F021-45DA-BB53-270C3E49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1798</Words>
  <Characters>9892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dc:creator>
  <cp:keywords/>
  <dc:description/>
  <cp:lastModifiedBy>secretariat 2</cp:lastModifiedBy>
  <cp:revision>4</cp:revision>
  <cp:lastPrinted>2026-05-18T09:25:00Z</cp:lastPrinted>
  <dcterms:created xsi:type="dcterms:W3CDTF">2026-05-18T09:18:00Z</dcterms:created>
  <dcterms:modified xsi:type="dcterms:W3CDTF">2026-05-18T09:29:00Z</dcterms:modified>
</cp:coreProperties>
</file>