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6759" w:type="pct"/>
        <w:tblLook w:val="04A0" w:firstRow="1" w:lastRow="0" w:firstColumn="1" w:lastColumn="0" w:noHBand="0" w:noVBand="1"/>
      </w:tblPr>
      <w:tblGrid>
        <w:gridCol w:w="3752"/>
        <w:gridCol w:w="3752"/>
        <w:gridCol w:w="3752"/>
        <w:gridCol w:w="3752"/>
      </w:tblGrid>
      <w:tr w:rsidR="004918BC" w:rsidRPr="004918BC" w14:paraId="419F12B9" w14:textId="6B62C69E" w:rsidTr="004918BC">
        <w:trPr>
          <w:trHeight w:val="1862"/>
        </w:trPr>
        <w:tc>
          <w:tcPr>
            <w:tcW w:w="1250" w:type="pct"/>
          </w:tcPr>
          <w:p w14:paraId="08F14C26" w14:textId="77777777" w:rsidR="004918BC" w:rsidRPr="003C6AA2" w:rsidRDefault="004918BC" w:rsidP="009512AF">
            <w:pPr>
              <w:tabs>
                <w:tab w:val="left" w:pos="0"/>
              </w:tabs>
              <w:jc w:val="center"/>
              <w:rPr>
                <w:rFonts w:ascii="Kohinoor Devanagari" w:hAnsi="Kohinoor Devanagari" w:cs="Kohinoor Devanagari"/>
                <w:b/>
                <w:color w:val="FFFFFF"/>
                <w:sz w:val="18"/>
                <w:szCs w:val="18"/>
              </w:rPr>
            </w:pPr>
            <w:r w:rsidRPr="003C6AA2">
              <w:rPr>
                <w:rFonts w:ascii="Kohinoor Devanagari" w:hAnsi="Kohinoor Devanagari" w:cs="Kohinoor Devanagari"/>
                <w:b/>
                <w:color w:val="FFFFFF"/>
                <w:sz w:val="18"/>
                <w:szCs w:val="18"/>
              </w:rPr>
              <w:t>REPUBLIQUE DU CAMEROUN</w:t>
            </w:r>
          </w:p>
          <w:p w14:paraId="2C02F8D1" w14:textId="77777777" w:rsidR="004918BC" w:rsidRPr="003C6AA2" w:rsidRDefault="004918BC" w:rsidP="009512AF">
            <w:pPr>
              <w:tabs>
                <w:tab w:val="left" w:pos="0"/>
              </w:tabs>
              <w:jc w:val="center"/>
              <w:rPr>
                <w:rFonts w:ascii="Kohinoor Devanagari" w:hAnsi="Kohinoor Devanagari" w:cs="Kohinoor Devanagari"/>
                <w:b/>
                <w:color w:val="FFFFFF"/>
                <w:sz w:val="18"/>
                <w:szCs w:val="18"/>
              </w:rPr>
            </w:pPr>
            <w:r w:rsidRPr="003C6AA2">
              <w:rPr>
                <w:rFonts w:ascii="Kohinoor Devanagari" w:hAnsi="Kohinoor Devanagari" w:cs="Kohinoor Devanagari"/>
                <w:b/>
                <w:color w:val="FFFFFF"/>
                <w:sz w:val="18"/>
                <w:szCs w:val="18"/>
              </w:rPr>
              <w:t>Paix – Travail – Patrie</w:t>
            </w:r>
          </w:p>
          <w:p w14:paraId="09102772" w14:textId="77777777" w:rsidR="004918BC" w:rsidRPr="003C6AA2" w:rsidRDefault="004918BC" w:rsidP="009512AF">
            <w:pPr>
              <w:tabs>
                <w:tab w:val="left" w:pos="0"/>
              </w:tabs>
              <w:jc w:val="center"/>
              <w:rPr>
                <w:rFonts w:ascii="Kohinoor Devanagari" w:hAnsi="Kohinoor Devanagari" w:cs="Kohinoor Devanagari"/>
                <w:b/>
                <w:color w:val="FFFFFF"/>
                <w:sz w:val="18"/>
                <w:szCs w:val="18"/>
              </w:rPr>
            </w:pPr>
            <w:r w:rsidRPr="003C6AA2">
              <w:rPr>
                <w:rFonts w:ascii="Kohinoor Devanagari" w:hAnsi="Kohinoor Devanagari" w:cs="Kohinoor Devanagari"/>
                <w:b/>
                <w:color w:val="FFFFFF"/>
                <w:sz w:val="18"/>
                <w:szCs w:val="18"/>
              </w:rPr>
              <w:t>------------</w:t>
            </w:r>
          </w:p>
          <w:p w14:paraId="4BC5F8C2" w14:textId="77777777" w:rsidR="004918BC" w:rsidRPr="003C6AA2" w:rsidRDefault="004918BC" w:rsidP="009512AF">
            <w:pPr>
              <w:tabs>
                <w:tab w:val="left" w:pos="0"/>
              </w:tabs>
              <w:jc w:val="center"/>
              <w:rPr>
                <w:rFonts w:ascii="Kohinoor Devanagari" w:hAnsi="Kohinoor Devanagari" w:cs="Kohinoor Devanagari"/>
                <w:b/>
                <w:color w:val="FFFFFF"/>
                <w:sz w:val="20"/>
                <w:szCs w:val="20"/>
              </w:rPr>
            </w:pPr>
            <w:r w:rsidRPr="003C6AA2">
              <w:rPr>
                <w:rFonts w:ascii="Kohinoor Devanagari" w:hAnsi="Kohinoor Devanagari" w:cs="Kohinoor Devanagari"/>
                <w:b/>
                <w:color w:val="FFFFFF"/>
                <w:sz w:val="20"/>
                <w:szCs w:val="20"/>
              </w:rPr>
              <w:t>MINISTERE DES FINANCES</w:t>
            </w:r>
          </w:p>
          <w:p w14:paraId="04E51B19" w14:textId="77777777" w:rsidR="004918BC" w:rsidRPr="003C6AA2" w:rsidRDefault="004918BC" w:rsidP="009512AF">
            <w:pPr>
              <w:tabs>
                <w:tab w:val="left" w:pos="0"/>
              </w:tabs>
              <w:jc w:val="center"/>
              <w:rPr>
                <w:rFonts w:ascii="Kohinoor Devanagari" w:hAnsi="Kohinoor Devanagari" w:cs="Kohinoor Devanagari"/>
                <w:b/>
                <w:color w:val="FFFFFF"/>
                <w:sz w:val="18"/>
                <w:szCs w:val="18"/>
              </w:rPr>
            </w:pPr>
            <w:r w:rsidRPr="003C6AA2">
              <w:rPr>
                <w:rFonts w:ascii="Kohinoor Devanagari" w:hAnsi="Kohinoor Devanagari" w:cs="Kohinoor Devanagari"/>
                <w:b/>
                <w:color w:val="FFFFFF"/>
                <w:sz w:val="18"/>
                <w:szCs w:val="18"/>
              </w:rPr>
              <w:t>------------</w:t>
            </w:r>
          </w:p>
          <w:p w14:paraId="644D41C8" w14:textId="77777777" w:rsidR="004918BC" w:rsidRPr="003C6AA2" w:rsidRDefault="004918BC" w:rsidP="009512AF">
            <w:pPr>
              <w:tabs>
                <w:tab w:val="left" w:pos="0"/>
              </w:tabs>
              <w:jc w:val="center"/>
              <w:rPr>
                <w:rFonts w:ascii="Kohinoor Devanagari" w:hAnsi="Kohinoor Devanagari" w:cs="Kohinoor Devanagari"/>
                <w:b/>
                <w:color w:val="FFFFFF"/>
                <w:sz w:val="18"/>
                <w:szCs w:val="18"/>
              </w:rPr>
            </w:pPr>
            <w:r w:rsidRPr="003C6AA2">
              <w:rPr>
                <w:rFonts w:ascii="Kohinoor Devanagari" w:hAnsi="Kohinoor Devanagari" w:cs="Kohinoor Devanagari"/>
                <w:b/>
                <w:color w:val="FFFFFF"/>
                <w:sz w:val="18"/>
                <w:szCs w:val="18"/>
              </w:rPr>
              <w:t>COMITE ITIE</w:t>
            </w:r>
          </w:p>
          <w:p w14:paraId="02E17C3D" w14:textId="77777777" w:rsidR="004918BC" w:rsidRPr="003C6AA2" w:rsidRDefault="004918BC" w:rsidP="009512AF">
            <w:pPr>
              <w:tabs>
                <w:tab w:val="left" w:pos="0"/>
              </w:tabs>
              <w:jc w:val="center"/>
              <w:rPr>
                <w:rFonts w:ascii="Kohinoor Devanagari" w:hAnsi="Kohinoor Devanagari" w:cs="Kohinoor Devanagari"/>
                <w:color w:val="FFFFFF"/>
                <w:sz w:val="28"/>
                <w:szCs w:val="28"/>
              </w:rPr>
            </w:pPr>
            <w:r w:rsidRPr="003C6AA2">
              <w:rPr>
                <w:rFonts w:ascii="Kohinoor Devanagari" w:hAnsi="Kohinoor Devanagari" w:cs="Kohinoor Devanagari"/>
                <w:b/>
                <w:color w:val="FFFFFF"/>
                <w:sz w:val="18"/>
                <w:szCs w:val="18"/>
              </w:rPr>
              <w:t>------------</w:t>
            </w:r>
          </w:p>
        </w:tc>
        <w:tc>
          <w:tcPr>
            <w:tcW w:w="1250" w:type="pct"/>
          </w:tcPr>
          <w:p w14:paraId="1F67D6D3" w14:textId="59659FF6" w:rsidR="004918BC" w:rsidRPr="009B3188" w:rsidRDefault="004918BC" w:rsidP="009512AF">
            <w:pPr>
              <w:jc w:val="center"/>
              <w:rPr>
                <w:rFonts w:ascii="Kohinoor Devanagari" w:hAnsi="Kohinoor Devanagari" w:cs="Kohinoor Devanagari"/>
                <w:sz w:val="28"/>
                <w:szCs w:val="28"/>
              </w:rPr>
            </w:pPr>
            <w:r w:rsidRPr="009B3188">
              <w:rPr>
                <w:rFonts w:ascii="Kohinoor Devanagari" w:hAnsi="Kohinoor Devanagari" w:cs="Kohinoor Devanagari"/>
                <w:b/>
                <w:noProof/>
                <w:sz w:val="40"/>
                <w:szCs w:val="40"/>
                <w:lang w:eastAsia="fr-FR"/>
              </w:rPr>
              <w:drawing>
                <wp:anchor distT="0" distB="0" distL="114300" distR="114300" simplePos="0" relativeHeight="251690496" behindDoc="1" locked="0" layoutInCell="1" allowOverlap="1" wp14:anchorId="632FDE81" wp14:editId="735FB080">
                  <wp:simplePos x="0" y="0"/>
                  <wp:positionH relativeFrom="column">
                    <wp:posOffset>566420</wp:posOffset>
                  </wp:positionH>
                  <wp:positionV relativeFrom="page">
                    <wp:posOffset>1452880</wp:posOffset>
                  </wp:positionV>
                  <wp:extent cx="1097280" cy="735330"/>
                  <wp:effectExtent l="0" t="0" r="7620" b="7620"/>
                  <wp:wrapTight wrapText="bothSides">
                    <wp:wrapPolygon edited="0">
                      <wp:start x="375" y="0"/>
                      <wp:lineTo x="0" y="1679"/>
                      <wp:lineTo x="0" y="21264"/>
                      <wp:lineTo x="21375" y="21264"/>
                      <wp:lineTo x="21375" y="0"/>
                      <wp:lineTo x="375" y="0"/>
                    </wp:wrapPolygon>
                  </wp:wrapTight>
                  <wp:docPr id="4" name="Image 4" descr="Une image contenant signe, bâtiment, extérieur,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Logo-Eiti.png"/>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097280" cy="735330"/>
                          </a:xfrm>
                          <a:prstGeom prst="rect">
                            <a:avLst/>
                          </a:prstGeom>
                        </pic:spPr>
                      </pic:pic>
                    </a:graphicData>
                  </a:graphic>
                  <wp14:sizeRelH relativeFrom="margin">
                    <wp14:pctWidth>0</wp14:pctWidth>
                  </wp14:sizeRelH>
                  <wp14:sizeRelV relativeFrom="margin">
                    <wp14:pctHeight>0</wp14:pctHeight>
                  </wp14:sizeRelV>
                </wp:anchor>
              </w:drawing>
            </w:r>
            <w:r w:rsidRPr="009B3188">
              <w:rPr>
                <w:rFonts w:ascii="Kohinoor Devanagari" w:hAnsi="Kohinoor Devanagari" w:cs="Kohinoor Devanagari"/>
                <w:noProof/>
                <w:sz w:val="28"/>
                <w:szCs w:val="28"/>
                <w:lang w:eastAsia="fr-FR"/>
              </w:rPr>
              <w:drawing>
                <wp:inline distT="0" distB="0" distL="0" distR="0" wp14:anchorId="0E9E1DB9" wp14:editId="198C5798">
                  <wp:extent cx="1135818" cy="1289154"/>
                  <wp:effectExtent l="0" t="0" r="0" b="0"/>
                  <wp:docPr id="8" name="Imag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186401" cy="1346565"/>
                          </a:xfrm>
                          <a:prstGeom prst="rect">
                            <a:avLst/>
                          </a:prstGeom>
                        </pic:spPr>
                      </pic:pic>
                    </a:graphicData>
                  </a:graphic>
                </wp:inline>
              </w:drawing>
            </w:r>
          </w:p>
        </w:tc>
        <w:tc>
          <w:tcPr>
            <w:tcW w:w="1250" w:type="pct"/>
          </w:tcPr>
          <w:p w14:paraId="6DA92C00" w14:textId="1B56CE6C"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r w:rsidRPr="003C6AA2">
              <w:rPr>
                <w:rFonts w:ascii="Kohinoor Devanagari" w:hAnsi="Kohinoor Devanagari" w:cs="Kohinoor Devanagari"/>
                <w:b/>
                <w:color w:val="FFFFFF"/>
                <w:sz w:val="18"/>
                <w:szCs w:val="18"/>
                <w:lang w:val="en-GB"/>
              </w:rPr>
              <w:t>REPUBLIC OF CAMEROON</w:t>
            </w:r>
          </w:p>
          <w:p w14:paraId="0E09FA8F" w14:textId="5017E22A"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r w:rsidRPr="003C6AA2">
              <w:rPr>
                <w:rFonts w:ascii="Kohinoor Devanagari" w:hAnsi="Kohinoor Devanagari" w:cs="Kohinoor Devanagari"/>
                <w:b/>
                <w:color w:val="FFFFFF"/>
                <w:sz w:val="18"/>
                <w:szCs w:val="18"/>
                <w:lang w:val="en-GB"/>
              </w:rPr>
              <w:t>Peace – Work – Fatherland</w:t>
            </w:r>
          </w:p>
          <w:p w14:paraId="2FDDEB7C" w14:textId="705D3DD6"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r w:rsidRPr="003C6AA2">
              <w:rPr>
                <w:rFonts w:ascii="Kohinoor Devanagari" w:hAnsi="Kohinoor Devanagari" w:cs="Kohinoor Devanagari"/>
                <w:b/>
                <w:color w:val="FFFFFF"/>
                <w:sz w:val="18"/>
                <w:szCs w:val="18"/>
                <w:lang w:val="en-GB"/>
              </w:rPr>
              <w:t>------------</w:t>
            </w:r>
          </w:p>
          <w:p w14:paraId="6F9FBBFA" w14:textId="77777777" w:rsidR="004918BC" w:rsidRPr="003C6AA2" w:rsidRDefault="004918BC" w:rsidP="009512AF">
            <w:pPr>
              <w:tabs>
                <w:tab w:val="left" w:pos="0"/>
              </w:tabs>
              <w:jc w:val="center"/>
              <w:rPr>
                <w:rFonts w:ascii="Kohinoor Devanagari" w:hAnsi="Kohinoor Devanagari" w:cs="Kohinoor Devanagari"/>
                <w:b/>
                <w:color w:val="FFFFFF"/>
                <w:sz w:val="20"/>
                <w:szCs w:val="20"/>
                <w:lang w:val="en-GB"/>
              </w:rPr>
            </w:pPr>
            <w:r w:rsidRPr="003C6AA2">
              <w:rPr>
                <w:rFonts w:ascii="Kohinoor Devanagari" w:hAnsi="Kohinoor Devanagari" w:cs="Kohinoor Devanagari"/>
                <w:b/>
                <w:color w:val="FFFFFF"/>
                <w:sz w:val="20"/>
                <w:szCs w:val="20"/>
                <w:lang w:val="en-GB"/>
              </w:rPr>
              <w:t>MINISTRY OF FINANCE</w:t>
            </w:r>
          </w:p>
          <w:p w14:paraId="5DFB4E0B" w14:textId="77777777"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r w:rsidRPr="003C6AA2">
              <w:rPr>
                <w:rFonts w:ascii="Kohinoor Devanagari" w:hAnsi="Kohinoor Devanagari" w:cs="Kohinoor Devanagari"/>
                <w:b/>
                <w:color w:val="FFFFFF"/>
                <w:sz w:val="18"/>
                <w:szCs w:val="18"/>
                <w:lang w:val="en-GB"/>
              </w:rPr>
              <w:t>----------</w:t>
            </w:r>
          </w:p>
          <w:p w14:paraId="0CEDEF50" w14:textId="77777777"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r w:rsidRPr="003C6AA2">
              <w:rPr>
                <w:rFonts w:ascii="Kohinoor Devanagari" w:hAnsi="Kohinoor Devanagari" w:cs="Kohinoor Devanagari"/>
                <w:b/>
                <w:color w:val="FFFFFF"/>
                <w:sz w:val="18"/>
                <w:szCs w:val="18"/>
                <w:lang w:val="en-GB"/>
              </w:rPr>
              <w:t>EITI COMMITTEE</w:t>
            </w:r>
          </w:p>
          <w:p w14:paraId="1F029872" w14:textId="77777777" w:rsidR="004918BC" w:rsidRPr="003C6AA2" w:rsidRDefault="004918BC" w:rsidP="009512AF">
            <w:pPr>
              <w:tabs>
                <w:tab w:val="left" w:pos="0"/>
              </w:tabs>
              <w:jc w:val="center"/>
              <w:rPr>
                <w:rFonts w:ascii="Kohinoor Devanagari" w:hAnsi="Kohinoor Devanagari" w:cs="Kohinoor Devanagari"/>
                <w:color w:val="FFFFFF"/>
                <w:sz w:val="28"/>
                <w:szCs w:val="28"/>
                <w:lang w:val="en-GB"/>
              </w:rPr>
            </w:pPr>
            <w:r w:rsidRPr="003C6AA2">
              <w:rPr>
                <w:rFonts w:ascii="Kohinoor Devanagari" w:hAnsi="Kohinoor Devanagari" w:cs="Kohinoor Devanagari"/>
                <w:b/>
                <w:color w:val="FFFFFF"/>
                <w:sz w:val="18"/>
                <w:szCs w:val="18"/>
                <w:lang w:val="en-GB"/>
              </w:rPr>
              <w:t>------------</w:t>
            </w:r>
          </w:p>
        </w:tc>
        <w:tc>
          <w:tcPr>
            <w:tcW w:w="1250" w:type="pct"/>
          </w:tcPr>
          <w:p w14:paraId="476A9E39" w14:textId="77777777"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p>
        </w:tc>
      </w:tr>
      <w:tr w:rsidR="004918BC" w:rsidRPr="004918BC" w14:paraId="2D45AC09" w14:textId="4CBC607C" w:rsidTr="004918BC">
        <w:trPr>
          <w:trHeight w:val="1862"/>
        </w:trPr>
        <w:tc>
          <w:tcPr>
            <w:tcW w:w="1250" w:type="pct"/>
          </w:tcPr>
          <w:p w14:paraId="04DE3321" w14:textId="77777777" w:rsidR="004918BC" w:rsidRPr="009B3188" w:rsidRDefault="004918BC" w:rsidP="009512AF">
            <w:pPr>
              <w:tabs>
                <w:tab w:val="left" w:pos="0"/>
              </w:tabs>
              <w:jc w:val="center"/>
              <w:rPr>
                <w:rFonts w:ascii="Kohinoor Devanagari" w:hAnsi="Kohinoor Devanagari" w:cs="Kohinoor Devanagari"/>
                <w:b/>
                <w:sz w:val="18"/>
                <w:szCs w:val="18"/>
              </w:rPr>
            </w:pPr>
          </w:p>
        </w:tc>
        <w:tc>
          <w:tcPr>
            <w:tcW w:w="1250" w:type="pct"/>
          </w:tcPr>
          <w:p w14:paraId="5B5C384D" w14:textId="77777777" w:rsidR="004918BC" w:rsidRPr="009B3188" w:rsidRDefault="004918BC" w:rsidP="009512AF">
            <w:pPr>
              <w:jc w:val="center"/>
              <w:rPr>
                <w:rFonts w:ascii="Kohinoor Devanagari" w:hAnsi="Kohinoor Devanagari" w:cs="Kohinoor Devanagari"/>
                <w:b/>
                <w:noProof/>
                <w:sz w:val="40"/>
                <w:szCs w:val="40"/>
                <w:lang w:eastAsia="fr-FR"/>
              </w:rPr>
            </w:pPr>
          </w:p>
        </w:tc>
        <w:tc>
          <w:tcPr>
            <w:tcW w:w="1250" w:type="pct"/>
          </w:tcPr>
          <w:p w14:paraId="7BE8CE77" w14:textId="30A25D8E"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p>
        </w:tc>
        <w:tc>
          <w:tcPr>
            <w:tcW w:w="1250" w:type="pct"/>
          </w:tcPr>
          <w:p w14:paraId="71CE5FBE" w14:textId="77777777" w:rsidR="004918BC" w:rsidRPr="003C6AA2" w:rsidRDefault="004918BC" w:rsidP="009512AF">
            <w:pPr>
              <w:tabs>
                <w:tab w:val="left" w:pos="0"/>
              </w:tabs>
              <w:jc w:val="center"/>
              <w:rPr>
                <w:rFonts w:ascii="Kohinoor Devanagari" w:hAnsi="Kohinoor Devanagari" w:cs="Kohinoor Devanagari"/>
                <w:b/>
                <w:color w:val="FFFFFF"/>
                <w:sz w:val="18"/>
                <w:szCs w:val="18"/>
                <w:lang w:val="en-GB"/>
              </w:rPr>
            </w:pPr>
          </w:p>
        </w:tc>
      </w:tr>
    </w:tbl>
    <w:p w14:paraId="6421A1CE" w14:textId="6F00486F" w:rsidR="004918BC" w:rsidRPr="004918BC" w:rsidRDefault="004918BC" w:rsidP="004918BC">
      <w:pPr>
        <w:rPr>
          <w:rFonts w:ascii="Kohinoor Devanagari" w:hAnsi="Kohinoor Devanagari" w:cs="Kohinoor Devanagari"/>
        </w:rPr>
      </w:pPr>
    </w:p>
    <w:p w14:paraId="22092BD4" w14:textId="0F11BAB8" w:rsidR="004218C6" w:rsidRPr="004918BC" w:rsidRDefault="004218C6" w:rsidP="004218C6">
      <w:pPr>
        <w:rPr>
          <w:rFonts w:ascii="Kohinoor Devanagari" w:hAnsi="Kohinoor Devanagari" w:cs="Kohinoor Devanagari"/>
          <w:lang w:val="en-US"/>
        </w:rPr>
      </w:pPr>
    </w:p>
    <w:p w14:paraId="54E32A86" w14:textId="1E410D98" w:rsidR="004218C6" w:rsidRPr="009B3188" w:rsidRDefault="004218C6" w:rsidP="004218C6">
      <w:pPr>
        <w:rPr>
          <w:rFonts w:ascii="Kohinoor Devanagari" w:hAnsi="Kohinoor Devanagari" w:cs="Kohinoor Devanagari"/>
          <w:lang w:val="en-GB"/>
        </w:rPr>
      </w:pPr>
    </w:p>
    <w:p w14:paraId="29E32D99" w14:textId="5BB5F554" w:rsidR="004218C6" w:rsidRPr="009B3188" w:rsidRDefault="004218C6" w:rsidP="004218C6">
      <w:pPr>
        <w:rPr>
          <w:rFonts w:ascii="Kohinoor Devanagari" w:hAnsi="Kohinoor Devanagari" w:cs="Kohinoor Devanagari"/>
          <w:lang w:val="en-GB"/>
        </w:rPr>
      </w:pPr>
      <w:r w:rsidRPr="009B3188">
        <w:rPr>
          <w:rFonts w:ascii="Kohinoor Devanagari" w:hAnsi="Kohinoor Devanagari" w:cs="Kohinoor Devanagari"/>
          <w:lang w:val="en-GB"/>
        </w:rPr>
        <w:tab/>
      </w:r>
    </w:p>
    <w:tbl>
      <w:tblPr>
        <w:tblpPr w:leftFromText="141" w:rightFromText="141" w:vertAnchor="text" w:horzAnchor="margin" w:tblpY="299"/>
        <w:tblW w:w="51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7626F"/>
        <w:tblCellMar>
          <w:left w:w="0" w:type="dxa"/>
          <w:right w:w="0" w:type="dxa"/>
        </w:tblCellMar>
        <w:tblLook w:val="0000" w:firstRow="0" w:lastRow="0" w:firstColumn="0" w:lastColumn="0" w:noHBand="0" w:noVBand="0"/>
      </w:tblPr>
      <w:tblGrid>
        <w:gridCol w:w="11544"/>
      </w:tblGrid>
      <w:tr w:rsidR="005F38D2" w:rsidRPr="009B3188" w14:paraId="7061CCA0" w14:textId="77777777" w:rsidTr="005F38D2">
        <w:trPr>
          <w:trHeight w:val="645"/>
        </w:trPr>
        <w:tc>
          <w:tcPr>
            <w:tcW w:w="5000" w:type="pct"/>
            <w:tcBorders>
              <w:top w:val="nil"/>
              <w:left w:val="nil"/>
              <w:bottom w:val="nil"/>
              <w:right w:val="nil"/>
            </w:tcBorders>
            <w:shd w:val="clear" w:color="auto" w:fill="47626F"/>
          </w:tcPr>
          <w:p w14:paraId="574D647D" w14:textId="2DF001FA" w:rsidR="005F38D2" w:rsidRPr="009B3188" w:rsidRDefault="005F38D2" w:rsidP="005F38D2">
            <w:pPr>
              <w:pStyle w:val="Titre"/>
              <w:spacing w:before="120"/>
              <w:ind w:left="142" w:right="327"/>
              <w:rPr>
                <w:rFonts w:ascii="Kohinoor Devanagari" w:hAnsi="Kohinoor Devanagari" w:cs="Kohinoor Devanagari"/>
                <w:caps/>
                <w:color w:val="FFFFFF" w:themeColor="background1"/>
                <w:sz w:val="44"/>
                <w:szCs w:val="44"/>
                <w:lang w:val="fr-FR"/>
              </w:rPr>
            </w:pPr>
            <w:r w:rsidRPr="009B3188">
              <w:rPr>
                <w:rFonts w:ascii="Kohinoor Devanagari" w:hAnsi="Kohinoor Devanagari" w:cs="Kohinoor Devanagari"/>
                <w:color w:val="FFFFFF" w:themeColor="background1"/>
                <w:sz w:val="44"/>
                <w:szCs w:val="44"/>
                <w:lang w:val="fr-FR"/>
              </w:rPr>
              <w:t>Etude de faisabilité sur la divulgation systématique des données ITIE au Cameroun</w:t>
            </w:r>
          </w:p>
          <w:p w14:paraId="4F14E9FF" w14:textId="77777777" w:rsidR="005F38D2" w:rsidRPr="009B3188" w:rsidRDefault="005F38D2" w:rsidP="005F38D2">
            <w:pPr>
              <w:rPr>
                <w:rFonts w:ascii="Kohinoor Devanagari" w:hAnsi="Kohinoor Devanagari" w:cs="Kohinoor Devanagari"/>
              </w:rPr>
            </w:pPr>
          </w:p>
        </w:tc>
      </w:tr>
      <w:tr w:rsidR="005F38D2" w:rsidRPr="009B3188" w14:paraId="188AEBF5" w14:textId="77777777" w:rsidTr="005F38D2">
        <w:trPr>
          <w:trHeight w:val="321"/>
        </w:trPr>
        <w:tc>
          <w:tcPr>
            <w:tcW w:w="5000" w:type="pct"/>
            <w:tcBorders>
              <w:top w:val="nil"/>
              <w:left w:val="nil"/>
              <w:bottom w:val="nil"/>
              <w:right w:val="nil"/>
            </w:tcBorders>
            <w:shd w:val="clear" w:color="auto" w:fill="47626F"/>
          </w:tcPr>
          <w:p w14:paraId="72F41307" w14:textId="39739671" w:rsidR="005F38D2" w:rsidRPr="009B3188" w:rsidRDefault="003D3DAF" w:rsidP="005F38D2">
            <w:pPr>
              <w:ind w:left="142"/>
              <w:rPr>
                <w:rFonts w:ascii="Kohinoor Devanagari" w:hAnsi="Kohinoor Devanagari" w:cs="Kohinoor Devanagari"/>
              </w:rPr>
            </w:pPr>
            <w:r>
              <w:rPr>
                <w:rFonts w:ascii="Kohinoor Devanagari" w:hAnsi="Kohinoor Devanagari" w:cs="Kohinoor Devanagari"/>
                <w:color w:val="92D050"/>
                <w:sz w:val="48"/>
                <w:szCs w:val="48"/>
              </w:rPr>
              <w:t>PROEJET DE RAPPORT</w:t>
            </w:r>
          </w:p>
        </w:tc>
      </w:tr>
      <w:tr w:rsidR="005F38D2" w:rsidRPr="009B3188" w14:paraId="7ACACC14" w14:textId="77777777" w:rsidTr="005F38D2">
        <w:trPr>
          <w:trHeight w:val="77"/>
        </w:trPr>
        <w:tc>
          <w:tcPr>
            <w:tcW w:w="5000" w:type="pct"/>
            <w:tcBorders>
              <w:top w:val="nil"/>
              <w:left w:val="nil"/>
              <w:bottom w:val="nil"/>
              <w:right w:val="nil"/>
            </w:tcBorders>
            <w:shd w:val="clear" w:color="auto" w:fill="47626F"/>
            <w:vAlign w:val="center"/>
          </w:tcPr>
          <w:p w14:paraId="248AC596" w14:textId="78E7B698" w:rsidR="005F38D2" w:rsidRPr="009B3188" w:rsidRDefault="003C6AA2" w:rsidP="005F38D2">
            <w:pPr>
              <w:ind w:right="327"/>
              <w:jc w:val="right"/>
              <w:rPr>
                <w:rFonts w:ascii="Kohinoor Devanagari" w:hAnsi="Kohinoor Devanagari" w:cs="Kohinoor Devanagari"/>
                <w:color w:val="FFFFFF" w:themeColor="background1"/>
                <w:sz w:val="32"/>
                <w:szCs w:val="32"/>
              </w:rPr>
            </w:pPr>
            <w:r w:rsidRPr="003C6AA2">
              <w:rPr>
                <w:rFonts w:ascii="Kohinoor Devanagari" w:hAnsi="Kohinoor Devanagari" w:cs="Kohinoor Devanagari"/>
                <w:color w:val="FFFFFF" w:themeColor="background1"/>
              </w:rPr>
              <w:drawing>
                <wp:anchor distT="0" distB="0" distL="114300" distR="114300" simplePos="0" relativeHeight="251628031" behindDoc="1" locked="0" layoutInCell="1" allowOverlap="1" wp14:anchorId="04F91EDC" wp14:editId="39D63B9E">
                  <wp:simplePos x="0" y="0"/>
                  <wp:positionH relativeFrom="page">
                    <wp:posOffset>-3766820</wp:posOffset>
                  </wp:positionH>
                  <wp:positionV relativeFrom="paragraph">
                    <wp:posOffset>-7940040</wp:posOffset>
                  </wp:positionV>
                  <wp:extent cx="18192115" cy="12127230"/>
                  <wp:effectExtent l="0" t="0" r="635" b="7620"/>
                  <wp:wrapNone/>
                  <wp:docPr id="829113772" name="Image 22" descr="Une image contenant ciel, tuyau, bateau,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13772" name="Image 22" descr="Une image contenant ciel, tuyau, bateau, plein air&#10;&#10;Le contenu généré par l’IA peut être incorrect."/>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192115" cy="1212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8D2" w:rsidRPr="009B3188">
              <w:rPr>
                <w:rFonts w:ascii="Kohinoor Devanagari" w:hAnsi="Kohinoor Devanagari" w:cs="Kohinoor Devanagari"/>
                <w:color w:val="FFFFFF" w:themeColor="background1"/>
                <w:sz w:val="32"/>
                <w:szCs w:val="32"/>
              </w:rPr>
              <w:t>JUI</w:t>
            </w:r>
            <w:r w:rsidR="003D3DAF">
              <w:rPr>
                <w:rFonts w:ascii="Kohinoor Devanagari" w:hAnsi="Kohinoor Devanagari" w:cs="Kohinoor Devanagari"/>
                <w:color w:val="FFFFFF" w:themeColor="background1"/>
                <w:sz w:val="32"/>
                <w:szCs w:val="32"/>
              </w:rPr>
              <w:t>LLET</w:t>
            </w:r>
            <w:r w:rsidR="005F38D2" w:rsidRPr="009B3188">
              <w:rPr>
                <w:rFonts w:ascii="Kohinoor Devanagari" w:hAnsi="Kohinoor Devanagari" w:cs="Kohinoor Devanagari"/>
                <w:color w:val="FFFFFF" w:themeColor="background1"/>
                <w:sz w:val="32"/>
                <w:szCs w:val="32"/>
              </w:rPr>
              <w:t xml:space="preserve"> 2025</w:t>
            </w:r>
          </w:p>
        </w:tc>
      </w:tr>
    </w:tbl>
    <w:p w14:paraId="40935553" w14:textId="1C53E42F" w:rsidR="004218C6" w:rsidRPr="009B3188" w:rsidRDefault="00BE0DB5" w:rsidP="004218C6">
      <w:pPr>
        <w:rPr>
          <w:rFonts w:ascii="Kohinoor Devanagari" w:hAnsi="Kohinoor Devanagari" w:cs="Kohinoor Devanagari"/>
        </w:rPr>
        <w:sectPr w:rsidR="004218C6" w:rsidRPr="009B3188" w:rsidSect="00405547">
          <w:headerReference w:type="default" r:id="rId13"/>
          <w:footerReference w:type="even" r:id="rId14"/>
          <w:footerReference w:type="default" r:id="rId15"/>
          <w:pgSz w:w="11900" w:h="16840"/>
          <w:pgMar w:top="238" w:right="560" w:bottom="238" w:left="238" w:header="238" w:footer="1134" w:gutter="0"/>
          <w:cols w:space="708"/>
          <w:docGrid w:linePitch="360"/>
        </w:sectPr>
      </w:pPr>
      <w:r w:rsidRPr="009B3188">
        <w:rPr>
          <w:rFonts w:ascii="Kohinoor Devanagari" w:hAnsi="Kohinoor Devanagari" w:cs="Kohinoor Devanagari"/>
          <w:noProof/>
          <w:lang w:eastAsia="fr-FR"/>
        </w:rPr>
        <w:drawing>
          <wp:anchor distT="0" distB="0" distL="114300" distR="114300" simplePos="0" relativeHeight="251648512" behindDoc="1" locked="0" layoutInCell="1" allowOverlap="1" wp14:anchorId="1A9FDB98" wp14:editId="3E8E04C0">
            <wp:simplePos x="0" y="0"/>
            <wp:positionH relativeFrom="column">
              <wp:posOffset>4852670</wp:posOffset>
            </wp:positionH>
            <wp:positionV relativeFrom="page">
              <wp:posOffset>9771380</wp:posOffset>
            </wp:positionV>
            <wp:extent cx="2012950" cy="310515"/>
            <wp:effectExtent l="0" t="0" r="6350" b="0"/>
            <wp:wrapTight wrapText="bothSides">
              <wp:wrapPolygon edited="0">
                <wp:start x="818" y="0"/>
                <wp:lineTo x="0" y="9276"/>
                <wp:lineTo x="0" y="11926"/>
                <wp:lineTo x="818" y="19877"/>
                <wp:lineTo x="21464" y="19877"/>
                <wp:lineTo x="21464" y="1325"/>
                <wp:lineTo x="3884" y="0"/>
                <wp:lineTo x="818" y="0"/>
              </wp:wrapPolygon>
            </wp:wrapTight>
            <wp:docPr id="1427509543" name="Image 142750954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12950" cy="310515"/>
                    </a:xfrm>
                    <a:prstGeom prst="rect">
                      <a:avLst/>
                    </a:prstGeom>
                  </pic:spPr>
                </pic:pic>
              </a:graphicData>
            </a:graphic>
            <wp14:sizeRelH relativeFrom="margin">
              <wp14:pctWidth>0</wp14:pctWidth>
            </wp14:sizeRelH>
            <wp14:sizeRelV relativeFrom="margin">
              <wp14:pctHeight>0</wp14:pctHeight>
            </wp14:sizeRelV>
          </wp:anchor>
        </w:drawing>
      </w:r>
    </w:p>
    <w:p w14:paraId="6F3D19FB" w14:textId="40932313" w:rsidR="004218C6" w:rsidRPr="009B3188" w:rsidRDefault="004218C6" w:rsidP="004218C6">
      <w:pPr>
        <w:rPr>
          <w:rFonts w:ascii="Kohinoor Devanagari" w:hAnsi="Kohinoor Devanagari" w:cs="Kohinoor Devanagari"/>
        </w:rPr>
      </w:pPr>
    </w:p>
    <w:p w14:paraId="161AA14E" w14:textId="77777777" w:rsidR="004218C6" w:rsidRPr="009B3188" w:rsidRDefault="004218C6" w:rsidP="00DC76D7">
      <w:pPr>
        <w:spacing w:after="240" w:line="240" w:lineRule="auto"/>
        <w:rPr>
          <w:rFonts w:ascii="Kohinoor Devanagari" w:eastAsia="Trebuchet MS" w:hAnsi="Kohinoor Devanagari" w:cs="Kohinoor Devanagari"/>
          <w:b/>
          <w:color w:val="61BC4D"/>
          <w:kern w:val="0"/>
          <w:sz w:val="24"/>
          <w:szCs w:val="24"/>
          <w:lang w:eastAsia="en-GB"/>
          <w14:ligatures w14:val="none"/>
        </w:rPr>
      </w:pPr>
      <w:bookmarkStart w:id="0" w:name="_Toc536002909"/>
      <w:r w:rsidRPr="009B3188">
        <w:rPr>
          <w:rFonts w:ascii="Kohinoor Devanagari" w:eastAsia="Trebuchet MS" w:hAnsi="Kohinoor Devanagari" w:cs="Kohinoor Devanagari"/>
          <w:b/>
          <w:color w:val="61BC4D"/>
          <w:kern w:val="0"/>
          <w:sz w:val="24"/>
          <w:szCs w:val="24"/>
          <w:lang w:eastAsia="en-GB"/>
          <w14:ligatures w14:val="none"/>
        </w:rPr>
        <w:t xml:space="preserve">Table des matières </w:t>
      </w:r>
    </w:p>
    <w:p w14:paraId="7DD71658" w14:textId="47B2EC86" w:rsidR="003D3DAF" w:rsidRDefault="004218C6">
      <w:pPr>
        <w:pStyle w:val="TM1"/>
        <w:rPr>
          <w:rFonts w:asciiTheme="minorHAnsi" w:eastAsiaTheme="minorEastAsia" w:hAnsiTheme="minorHAnsi" w:cstheme="minorBidi"/>
          <w:b w:val="0"/>
          <w:bCs w:val="0"/>
          <w:caps w:val="0"/>
          <w:kern w:val="2"/>
          <w:sz w:val="24"/>
          <w:szCs w:val="24"/>
          <w:lang w:eastAsia="fr-FR"/>
        </w:rPr>
      </w:pPr>
      <w:r w:rsidRPr="009B3188">
        <w:rPr>
          <w:rFonts w:ascii="Kohinoor Devanagari" w:hAnsi="Kohinoor Devanagari" w:cs="Kohinoor Devanagari"/>
          <w:sz w:val="22"/>
          <w:szCs w:val="22"/>
        </w:rPr>
        <w:fldChar w:fldCharType="begin"/>
      </w:r>
      <w:r w:rsidRPr="009B3188">
        <w:rPr>
          <w:rFonts w:ascii="Kohinoor Devanagari" w:hAnsi="Kohinoor Devanagari" w:cs="Kohinoor Devanagari"/>
          <w:sz w:val="22"/>
          <w:szCs w:val="22"/>
        </w:rPr>
        <w:instrText xml:space="preserve"> TOC \o "1-2" \h \z \u </w:instrText>
      </w:r>
      <w:r w:rsidRPr="009B3188">
        <w:rPr>
          <w:rFonts w:ascii="Kohinoor Devanagari" w:hAnsi="Kohinoor Devanagari" w:cs="Kohinoor Devanagari"/>
          <w:sz w:val="22"/>
          <w:szCs w:val="22"/>
        </w:rPr>
        <w:fldChar w:fldCharType="separate"/>
      </w:r>
      <w:hyperlink w:anchor="_Toc204691607" w:history="1">
        <w:r w:rsidR="003D3DAF" w:rsidRPr="00014EB8">
          <w:rPr>
            <w:rStyle w:val="Lienhypertexte"/>
            <w:rFonts w:ascii="Kohinoor Devanagari" w:hAnsi="Kohinoor Devanagari" w:cs="Kohinoor Devanagari"/>
          </w:rPr>
          <w:t>1.</w:t>
        </w:r>
        <w:r w:rsidR="003D3DAF">
          <w:rPr>
            <w:rFonts w:asciiTheme="minorHAnsi" w:eastAsiaTheme="minorEastAsia" w:hAnsiTheme="minorHAnsi" w:cstheme="minorBidi"/>
            <w:b w:val="0"/>
            <w:bCs w:val="0"/>
            <w:caps w:val="0"/>
            <w:kern w:val="2"/>
            <w:sz w:val="24"/>
            <w:szCs w:val="24"/>
            <w:lang w:eastAsia="fr-FR"/>
          </w:rPr>
          <w:tab/>
        </w:r>
        <w:r w:rsidR="003D3DAF" w:rsidRPr="00014EB8">
          <w:rPr>
            <w:rStyle w:val="Lienhypertexte"/>
            <w:rFonts w:ascii="Kohinoor Devanagari" w:hAnsi="Kohinoor Devanagari" w:cs="Kohinoor Devanagari"/>
          </w:rPr>
          <w:t>Résumé Exécutif</w:t>
        </w:r>
        <w:r w:rsidR="003D3DAF">
          <w:rPr>
            <w:webHidden/>
          </w:rPr>
          <w:tab/>
        </w:r>
        <w:r w:rsidR="003D3DAF">
          <w:rPr>
            <w:webHidden/>
          </w:rPr>
          <w:fldChar w:fldCharType="begin"/>
        </w:r>
        <w:r w:rsidR="003D3DAF">
          <w:rPr>
            <w:webHidden/>
          </w:rPr>
          <w:instrText xml:space="preserve"> PAGEREF _Toc204691607 \h </w:instrText>
        </w:r>
        <w:r w:rsidR="003D3DAF">
          <w:rPr>
            <w:webHidden/>
          </w:rPr>
        </w:r>
        <w:r w:rsidR="003D3DAF">
          <w:rPr>
            <w:webHidden/>
          </w:rPr>
          <w:fldChar w:fldCharType="separate"/>
        </w:r>
        <w:r w:rsidR="00F436B4">
          <w:rPr>
            <w:webHidden/>
          </w:rPr>
          <w:t>5</w:t>
        </w:r>
        <w:r w:rsidR="003D3DAF">
          <w:rPr>
            <w:webHidden/>
          </w:rPr>
          <w:fldChar w:fldCharType="end"/>
        </w:r>
      </w:hyperlink>
    </w:p>
    <w:p w14:paraId="3F811DFD" w14:textId="3A5869BB"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08" w:history="1">
        <w:r w:rsidRPr="00014EB8">
          <w:rPr>
            <w:rStyle w:val="Lienhypertexte"/>
            <w:rFonts w:ascii="Kohinoor Devanagari" w:hAnsi="Kohinoor Devanagari" w:cs="Kohinoor Devanagari"/>
          </w:rPr>
          <w:t>2.</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Méthodologie</w:t>
        </w:r>
        <w:r>
          <w:rPr>
            <w:webHidden/>
          </w:rPr>
          <w:tab/>
        </w:r>
        <w:r>
          <w:rPr>
            <w:webHidden/>
          </w:rPr>
          <w:fldChar w:fldCharType="begin"/>
        </w:r>
        <w:r>
          <w:rPr>
            <w:webHidden/>
          </w:rPr>
          <w:instrText xml:space="preserve"> PAGEREF _Toc204691608 \h </w:instrText>
        </w:r>
        <w:r>
          <w:rPr>
            <w:webHidden/>
          </w:rPr>
        </w:r>
        <w:r>
          <w:rPr>
            <w:webHidden/>
          </w:rPr>
          <w:fldChar w:fldCharType="separate"/>
        </w:r>
        <w:r w:rsidR="00F436B4">
          <w:rPr>
            <w:webHidden/>
          </w:rPr>
          <w:t>9</w:t>
        </w:r>
        <w:r>
          <w:rPr>
            <w:webHidden/>
          </w:rPr>
          <w:fldChar w:fldCharType="end"/>
        </w:r>
      </w:hyperlink>
    </w:p>
    <w:p w14:paraId="57683BAA" w14:textId="374E1448" w:rsidR="003D3DAF" w:rsidRDefault="003D3DAF">
      <w:pPr>
        <w:pStyle w:val="TM2"/>
        <w:tabs>
          <w:tab w:val="left" w:pos="960"/>
          <w:tab w:val="right" w:leader="dot" w:pos="9338"/>
        </w:tabs>
        <w:rPr>
          <w:rFonts w:eastAsiaTheme="minorEastAsia"/>
          <w:noProof/>
          <w:sz w:val="24"/>
          <w:szCs w:val="24"/>
          <w:lang w:eastAsia="fr-FR"/>
        </w:rPr>
      </w:pPr>
      <w:hyperlink w:anchor="_Toc204691609" w:history="1">
        <w:r w:rsidRPr="00014EB8">
          <w:rPr>
            <w:rStyle w:val="Lienhypertexte"/>
            <w:rFonts w:ascii="Kohinoor Devanagari" w:eastAsia="Times New Roman" w:hAnsi="Kohinoor Devanagari" w:cs="Kohinoor Devanagari"/>
            <w:b/>
            <w:bCs/>
            <w:noProof/>
            <w:lang w:eastAsia="fr-FR"/>
          </w:rPr>
          <w:t>2.1.</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Approche</w:t>
        </w:r>
        <w:r>
          <w:rPr>
            <w:noProof/>
            <w:webHidden/>
          </w:rPr>
          <w:tab/>
        </w:r>
        <w:r>
          <w:rPr>
            <w:noProof/>
            <w:webHidden/>
          </w:rPr>
          <w:fldChar w:fldCharType="begin"/>
        </w:r>
        <w:r>
          <w:rPr>
            <w:noProof/>
            <w:webHidden/>
          </w:rPr>
          <w:instrText xml:space="preserve"> PAGEREF _Toc204691609 \h </w:instrText>
        </w:r>
        <w:r>
          <w:rPr>
            <w:noProof/>
            <w:webHidden/>
          </w:rPr>
        </w:r>
        <w:r>
          <w:rPr>
            <w:noProof/>
            <w:webHidden/>
          </w:rPr>
          <w:fldChar w:fldCharType="separate"/>
        </w:r>
        <w:r w:rsidR="00F436B4">
          <w:rPr>
            <w:noProof/>
            <w:webHidden/>
          </w:rPr>
          <w:t>9</w:t>
        </w:r>
        <w:r>
          <w:rPr>
            <w:noProof/>
            <w:webHidden/>
          </w:rPr>
          <w:fldChar w:fldCharType="end"/>
        </w:r>
      </w:hyperlink>
    </w:p>
    <w:p w14:paraId="54C5D0E8" w14:textId="7268EF2B" w:rsidR="003D3DAF" w:rsidRDefault="003D3DAF">
      <w:pPr>
        <w:pStyle w:val="TM2"/>
        <w:tabs>
          <w:tab w:val="left" w:pos="960"/>
          <w:tab w:val="right" w:leader="dot" w:pos="9338"/>
        </w:tabs>
        <w:rPr>
          <w:rFonts w:eastAsiaTheme="minorEastAsia"/>
          <w:noProof/>
          <w:sz w:val="24"/>
          <w:szCs w:val="24"/>
          <w:lang w:eastAsia="fr-FR"/>
        </w:rPr>
      </w:pPr>
      <w:hyperlink w:anchor="_Toc204691610" w:history="1">
        <w:r w:rsidRPr="00014EB8">
          <w:rPr>
            <w:rStyle w:val="Lienhypertexte"/>
            <w:rFonts w:ascii="Kohinoor Devanagari" w:eastAsia="Times New Roman" w:hAnsi="Kohinoor Devanagari" w:cs="Kohinoor Devanagari"/>
            <w:b/>
            <w:bCs/>
            <w:noProof/>
            <w:lang w:eastAsia="fr-FR"/>
          </w:rPr>
          <w:t>2.2.</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Parties prenantes consultées</w:t>
        </w:r>
        <w:r>
          <w:rPr>
            <w:noProof/>
            <w:webHidden/>
          </w:rPr>
          <w:tab/>
        </w:r>
        <w:r>
          <w:rPr>
            <w:noProof/>
            <w:webHidden/>
          </w:rPr>
          <w:fldChar w:fldCharType="begin"/>
        </w:r>
        <w:r>
          <w:rPr>
            <w:noProof/>
            <w:webHidden/>
          </w:rPr>
          <w:instrText xml:space="preserve"> PAGEREF _Toc204691610 \h </w:instrText>
        </w:r>
        <w:r>
          <w:rPr>
            <w:noProof/>
            <w:webHidden/>
          </w:rPr>
        </w:r>
        <w:r>
          <w:rPr>
            <w:noProof/>
            <w:webHidden/>
          </w:rPr>
          <w:fldChar w:fldCharType="separate"/>
        </w:r>
        <w:r w:rsidR="00F436B4">
          <w:rPr>
            <w:noProof/>
            <w:webHidden/>
          </w:rPr>
          <w:t>10</w:t>
        </w:r>
        <w:r>
          <w:rPr>
            <w:noProof/>
            <w:webHidden/>
          </w:rPr>
          <w:fldChar w:fldCharType="end"/>
        </w:r>
      </w:hyperlink>
    </w:p>
    <w:p w14:paraId="43EC408D" w14:textId="6F440224" w:rsidR="003D3DAF" w:rsidRDefault="003D3DAF">
      <w:pPr>
        <w:pStyle w:val="TM2"/>
        <w:tabs>
          <w:tab w:val="left" w:pos="960"/>
          <w:tab w:val="right" w:leader="dot" w:pos="9338"/>
        </w:tabs>
        <w:rPr>
          <w:rFonts w:eastAsiaTheme="minorEastAsia"/>
          <w:noProof/>
          <w:sz w:val="24"/>
          <w:szCs w:val="24"/>
          <w:lang w:eastAsia="fr-FR"/>
        </w:rPr>
      </w:pPr>
      <w:hyperlink w:anchor="_Toc204691611" w:history="1">
        <w:r w:rsidRPr="000F35D2">
          <w:rPr>
            <w:rStyle w:val="Lienhypertexte"/>
            <w:rFonts w:ascii="Kohinoor Devanagari" w:eastAsia="Times New Roman" w:hAnsi="Kohinoor Devanagari" w:cs="Kohinoor Devanagari"/>
            <w:b/>
            <w:bCs/>
            <w:noProof/>
            <w:lang w:eastAsia="fr-FR"/>
          </w:rPr>
          <w:t>2.3.</w:t>
        </w:r>
        <w:r w:rsidRPr="000F35D2">
          <w:rPr>
            <w:rFonts w:eastAsiaTheme="minorEastAsia"/>
            <w:noProof/>
            <w:sz w:val="24"/>
            <w:szCs w:val="24"/>
            <w:lang w:eastAsia="fr-FR"/>
          </w:rPr>
          <w:tab/>
        </w:r>
        <w:r w:rsidRPr="000F35D2">
          <w:rPr>
            <w:rStyle w:val="Lienhypertexte"/>
            <w:rFonts w:ascii="Kohinoor Devanagari" w:eastAsia="Times New Roman" w:hAnsi="Kohinoor Devanagari" w:cs="Kohinoor Devanagari"/>
            <w:b/>
            <w:bCs/>
            <w:noProof/>
            <w:lang w:eastAsia="fr-FR"/>
          </w:rPr>
          <w:t>Limites de l'étude</w:t>
        </w:r>
        <w:r w:rsidRPr="000F35D2">
          <w:rPr>
            <w:noProof/>
            <w:webHidden/>
          </w:rPr>
          <w:tab/>
        </w:r>
        <w:r w:rsidRPr="000F35D2">
          <w:rPr>
            <w:noProof/>
            <w:webHidden/>
          </w:rPr>
          <w:fldChar w:fldCharType="begin"/>
        </w:r>
        <w:r w:rsidRPr="000F35D2">
          <w:rPr>
            <w:noProof/>
            <w:webHidden/>
          </w:rPr>
          <w:instrText xml:space="preserve"> PAGEREF _Toc204691611 \h </w:instrText>
        </w:r>
        <w:r w:rsidRPr="000F35D2">
          <w:rPr>
            <w:noProof/>
            <w:webHidden/>
          </w:rPr>
        </w:r>
        <w:r w:rsidRPr="000F35D2">
          <w:rPr>
            <w:noProof/>
            <w:webHidden/>
          </w:rPr>
          <w:fldChar w:fldCharType="separate"/>
        </w:r>
        <w:r w:rsidR="00F436B4">
          <w:rPr>
            <w:noProof/>
            <w:webHidden/>
          </w:rPr>
          <w:t>11</w:t>
        </w:r>
        <w:r w:rsidRPr="000F35D2">
          <w:rPr>
            <w:noProof/>
            <w:webHidden/>
          </w:rPr>
          <w:fldChar w:fldCharType="end"/>
        </w:r>
      </w:hyperlink>
    </w:p>
    <w:p w14:paraId="59754D1E" w14:textId="3AEEC6FA"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12" w:history="1">
        <w:r w:rsidRPr="00014EB8">
          <w:rPr>
            <w:rStyle w:val="Lienhypertexte"/>
            <w:rFonts w:ascii="Kohinoor Devanagari" w:hAnsi="Kohinoor Devanagari" w:cs="Kohinoor Devanagari"/>
          </w:rPr>
          <w:t>3.</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Etat des lieux de la divulgation des données ITIE</w:t>
        </w:r>
        <w:r>
          <w:rPr>
            <w:webHidden/>
          </w:rPr>
          <w:tab/>
        </w:r>
        <w:r>
          <w:rPr>
            <w:webHidden/>
          </w:rPr>
          <w:fldChar w:fldCharType="begin"/>
        </w:r>
        <w:r>
          <w:rPr>
            <w:webHidden/>
          </w:rPr>
          <w:instrText xml:space="preserve"> PAGEREF _Toc204691612 \h </w:instrText>
        </w:r>
        <w:r>
          <w:rPr>
            <w:webHidden/>
          </w:rPr>
        </w:r>
        <w:r>
          <w:rPr>
            <w:webHidden/>
          </w:rPr>
          <w:fldChar w:fldCharType="separate"/>
        </w:r>
        <w:r w:rsidR="00F436B4">
          <w:rPr>
            <w:webHidden/>
          </w:rPr>
          <w:t>12</w:t>
        </w:r>
        <w:r>
          <w:rPr>
            <w:webHidden/>
          </w:rPr>
          <w:fldChar w:fldCharType="end"/>
        </w:r>
      </w:hyperlink>
    </w:p>
    <w:p w14:paraId="041C6752" w14:textId="3A8D5B3C" w:rsidR="003D3DAF" w:rsidRDefault="003D3DAF">
      <w:pPr>
        <w:pStyle w:val="TM2"/>
        <w:tabs>
          <w:tab w:val="left" w:pos="960"/>
          <w:tab w:val="right" w:leader="dot" w:pos="9338"/>
        </w:tabs>
        <w:rPr>
          <w:rFonts w:eastAsiaTheme="minorEastAsia"/>
          <w:noProof/>
          <w:sz w:val="24"/>
          <w:szCs w:val="24"/>
          <w:lang w:eastAsia="fr-FR"/>
        </w:rPr>
      </w:pPr>
      <w:hyperlink w:anchor="_Toc204691613" w:history="1">
        <w:r w:rsidRPr="00014EB8">
          <w:rPr>
            <w:rStyle w:val="Lienhypertexte"/>
            <w:rFonts w:ascii="Kohinoor Devanagari" w:eastAsia="Times New Roman" w:hAnsi="Kohinoor Devanagari" w:cs="Kohinoor Devanagari"/>
            <w:b/>
            <w:bCs/>
            <w:noProof/>
            <w:lang w:eastAsia="fr-FR"/>
          </w:rPr>
          <w:t>3.1.</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Évaluation de la disponibilité des informations requises par la Norme ITIE dans les systèmes gouvernementaux.</w:t>
        </w:r>
        <w:r>
          <w:rPr>
            <w:noProof/>
            <w:webHidden/>
          </w:rPr>
          <w:tab/>
        </w:r>
        <w:r>
          <w:rPr>
            <w:noProof/>
            <w:webHidden/>
          </w:rPr>
          <w:fldChar w:fldCharType="begin"/>
        </w:r>
        <w:r>
          <w:rPr>
            <w:noProof/>
            <w:webHidden/>
          </w:rPr>
          <w:instrText xml:space="preserve"> PAGEREF _Toc204691613 \h </w:instrText>
        </w:r>
        <w:r>
          <w:rPr>
            <w:noProof/>
            <w:webHidden/>
          </w:rPr>
        </w:r>
        <w:r>
          <w:rPr>
            <w:noProof/>
            <w:webHidden/>
          </w:rPr>
          <w:fldChar w:fldCharType="separate"/>
        </w:r>
        <w:r w:rsidR="00F436B4">
          <w:rPr>
            <w:noProof/>
            <w:webHidden/>
          </w:rPr>
          <w:t>12</w:t>
        </w:r>
        <w:r>
          <w:rPr>
            <w:noProof/>
            <w:webHidden/>
          </w:rPr>
          <w:fldChar w:fldCharType="end"/>
        </w:r>
      </w:hyperlink>
    </w:p>
    <w:p w14:paraId="50B46C16" w14:textId="66D1336C" w:rsidR="003D3DAF" w:rsidRDefault="003D3DAF">
      <w:pPr>
        <w:pStyle w:val="TM2"/>
        <w:tabs>
          <w:tab w:val="left" w:pos="960"/>
          <w:tab w:val="right" w:leader="dot" w:pos="9338"/>
        </w:tabs>
        <w:rPr>
          <w:rFonts w:eastAsiaTheme="minorEastAsia"/>
          <w:noProof/>
          <w:sz w:val="24"/>
          <w:szCs w:val="24"/>
          <w:lang w:eastAsia="fr-FR"/>
        </w:rPr>
      </w:pPr>
      <w:hyperlink w:anchor="_Toc204691614" w:history="1">
        <w:r w:rsidRPr="00014EB8">
          <w:rPr>
            <w:rStyle w:val="Lienhypertexte"/>
            <w:rFonts w:ascii="Kohinoor Devanagari" w:eastAsia="Times New Roman" w:hAnsi="Kohinoor Devanagari" w:cs="Kohinoor Devanagari"/>
            <w:b/>
            <w:bCs/>
            <w:noProof/>
            <w:lang w:eastAsia="fr-FR"/>
          </w:rPr>
          <w:t>3.2.</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Cartographie des supports de traitement et de divulgation des données ITIE</w:t>
        </w:r>
        <w:r>
          <w:rPr>
            <w:noProof/>
            <w:webHidden/>
          </w:rPr>
          <w:tab/>
        </w:r>
        <w:r w:rsidR="003A3D4E">
          <w:rPr>
            <w:noProof/>
            <w:webHidden/>
          </w:rPr>
          <w:tab/>
        </w:r>
        <w:r>
          <w:rPr>
            <w:noProof/>
            <w:webHidden/>
          </w:rPr>
          <w:fldChar w:fldCharType="begin"/>
        </w:r>
        <w:r>
          <w:rPr>
            <w:noProof/>
            <w:webHidden/>
          </w:rPr>
          <w:instrText xml:space="preserve"> PAGEREF _Toc204691614 \h </w:instrText>
        </w:r>
        <w:r>
          <w:rPr>
            <w:noProof/>
            <w:webHidden/>
          </w:rPr>
        </w:r>
        <w:r>
          <w:rPr>
            <w:noProof/>
            <w:webHidden/>
          </w:rPr>
          <w:fldChar w:fldCharType="separate"/>
        </w:r>
        <w:r w:rsidR="00F436B4">
          <w:rPr>
            <w:noProof/>
            <w:webHidden/>
          </w:rPr>
          <w:t>18</w:t>
        </w:r>
        <w:r>
          <w:rPr>
            <w:noProof/>
            <w:webHidden/>
          </w:rPr>
          <w:fldChar w:fldCharType="end"/>
        </w:r>
      </w:hyperlink>
    </w:p>
    <w:p w14:paraId="34A363C8" w14:textId="0399B85D"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15" w:history="1">
        <w:r w:rsidRPr="00014EB8">
          <w:rPr>
            <w:rStyle w:val="Lienhypertexte"/>
            <w:rFonts w:ascii="Kohinoor Devanagari" w:hAnsi="Kohinoor Devanagari" w:cs="Kohinoor Devanagari"/>
          </w:rPr>
          <w:t>4.</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Obstacles à la divulgation systématique</w:t>
        </w:r>
        <w:r>
          <w:rPr>
            <w:webHidden/>
          </w:rPr>
          <w:tab/>
        </w:r>
        <w:r>
          <w:rPr>
            <w:webHidden/>
          </w:rPr>
          <w:fldChar w:fldCharType="begin"/>
        </w:r>
        <w:r>
          <w:rPr>
            <w:webHidden/>
          </w:rPr>
          <w:instrText xml:space="preserve"> PAGEREF _Toc204691615 \h </w:instrText>
        </w:r>
        <w:r>
          <w:rPr>
            <w:webHidden/>
          </w:rPr>
        </w:r>
        <w:r>
          <w:rPr>
            <w:webHidden/>
          </w:rPr>
          <w:fldChar w:fldCharType="separate"/>
        </w:r>
        <w:r w:rsidR="00F436B4">
          <w:rPr>
            <w:webHidden/>
          </w:rPr>
          <w:t>25</w:t>
        </w:r>
        <w:r>
          <w:rPr>
            <w:webHidden/>
          </w:rPr>
          <w:fldChar w:fldCharType="end"/>
        </w:r>
      </w:hyperlink>
    </w:p>
    <w:p w14:paraId="7B37B6AF" w14:textId="006E62C9" w:rsidR="003D3DAF" w:rsidRDefault="003D3DAF">
      <w:pPr>
        <w:pStyle w:val="TM2"/>
        <w:tabs>
          <w:tab w:val="left" w:pos="960"/>
          <w:tab w:val="right" w:leader="dot" w:pos="9338"/>
        </w:tabs>
        <w:rPr>
          <w:rFonts w:eastAsiaTheme="minorEastAsia"/>
          <w:noProof/>
          <w:sz w:val="24"/>
          <w:szCs w:val="24"/>
          <w:lang w:eastAsia="fr-FR"/>
        </w:rPr>
      </w:pPr>
      <w:hyperlink w:anchor="_Toc204691616" w:history="1">
        <w:r w:rsidRPr="00014EB8">
          <w:rPr>
            <w:rStyle w:val="Lienhypertexte"/>
            <w:rFonts w:ascii="Kohinoor Devanagari" w:eastAsia="Times New Roman" w:hAnsi="Kohinoor Devanagari" w:cs="Kohinoor Devanagari"/>
            <w:b/>
            <w:bCs/>
            <w:noProof/>
            <w:lang w:eastAsia="fr-FR"/>
          </w:rPr>
          <w:t>4.1.</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Analyse des textes juridiques</w:t>
        </w:r>
        <w:r>
          <w:rPr>
            <w:noProof/>
            <w:webHidden/>
          </w:rPr>
          <w:tab/>
        </w:r>
        <w:r>
          <w:rPr>
            <w:noProof/>
            <w:webHidden/>
          </w:rPr>
          <w:fldChar w:fldCharType="begin"/>
        </w:r>
        <w:r>
          <w:rPr>
            <w:noProof/>
            <w:webHidden/>
          </w:rPr>
          <w:instrText xml:space="preserve"> PAGEREF _Toc204691616 \h </w:instrText>
        </w:r>
        <w:r>
          <w:rPr>
            <w:noProof/>
            <w:webHidden/>
          </w:rPr>
        </w:r>
        <w:r>
          <w:rPr>
            <w:noProof/>
            <w:webHidden/>
          </w:rPr>
          <w:fldChar w:fldCharType="separate"/>
        </w:r>
        <w:r w:rsidR="00F436B4">
          <w:rPr>
            <w:noProof/>
            <w:webHidden/>
          </w:rPr>
          <w:t>25</w:t>
        </w:r>
        <w:r>
          <w:rPr>
            <w:noProof/>
            <w:webHidden/>
          </w:rPr>
          <w:fldChar w:fldCharType="end"/>
        </w:r>
      </w:hyperlink>
    </w:p>
    <w:p w14:paraId="23685F45" w14:textId="47DC35F0" w:rsidR="003D3DAF" w:rsidRDefault="003D3DAF">
      <w:pPr>
        <w:pStyle w:val="TM2"/>
        <w:tabs>
          <w:tab w:val="left" w:pos="960"/>
          <w:tab w:val="right" w:leader="dot" w:pos="9338"/>
        </w:tabs>
        <w:rPr>
          <w:rFonts w:eastAsiaTheme="minorEastAsia"/>
          <w:noProof/>
          <w:sz w:val="24"/>
          <w:szCs w:val="24"/>
          <w:lang w:eastAsia="fr-FR"/>
        </w:rPr>
      </w:pPr>
      <w:hyperlink w:anchor="_Toc204691617" w:history="1">
        <w:r w:rsidRPr="00014EB8">
          <w:rPr>
            <w:rStyle w:val="Lienhypertexte"/>
            <w:rFonts w:ascii="Kohinoor Devanagari" w:eastAsia="Times New Roman" w:hAnsi="Kohinoor Devanagari" w:cs="Kohinoor Devanagari"/>
            <w:b/>
            <w:bCs/>
            <w:noProof/>
            <w:lang w:eastAsia="fr-FR"/>
          </w:rPr>
          <w:t>4.2.</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Identification des obstacles et des contraintes</w:t>
        </w:r>
        <w:r>
          <w:rPr>
            <w:noProof/>
            <w:webHidden/>
          </w:rPr>
          <w:tab/>
        </w:r>
        <w:r>
          <w:rPr>
            <w:noProof/>
            <w:webHidden/>
          </w:rPr>
          <w:fldChar w:fldCharType="begin"/>
        </w:r>
        <w:r>
          <w:rPr>
            <w:noProof/>
            <w:webHidden/>
          </w:rPr>
          <w:instrText xml:space="preserve"> PAGEREF _Toc204691617 \h </w:instrText>
        </w:r>
        <w:r>
          <w:rPr>
            <w:noProof/>
            <w:webHidden/>
          </w:rPr>
        </w:r>
        <w:r>
          <w:rPr>
            <w:noProof/>
            <w:webHidden/>
          </w:rPr>
          <w:fldChar w:fldCharType="separate"/>
        </w:r>
        <w:r w:rsidR="00F436B4">
          <w:rPr>
            <w:noProof/>
            <w:webHidden/>
          </w:rPr>
          <w:t>32</w:t>
        </w:r>
        <w:r>
          <w:rPr>
            <w:noProof/>
            <w:webHidden/>
          </w:rPr>
          <w:fldChar w:fldCharType="end"/>
        </w:r>
      </w:hyperlink>
    </w:p>
    <w:p w14:paraId="761BB21B" w14:textId="471C7DFD" w:rsidR="003D3DAF" w:rsidRDefault="003D3DAF">
      <w:pPr>
        <w:pStyle w:val="TM2"/>
        <w:tabs>
          <w:tab w:val="left" w:pos="960"/>
          <w:tab w:val="right" w:leader="dot" w:pos="9338"/>
        </w:tabs>
        <w:rPr>
          <w:rFonts w:eastAsiaTheme="minorEastAsia"/>
          <w:noProof/>
          <w:sz w:val="24"/>
          <w:szCs w:val="24"/>
          <w:lang w:eastAsia="fr-FR"/>
        </w:rPr>
      </w:pPr>
      <w:hyperlink w:anchor="_Toc204691618" w:history="1">
        <w:r w:rsidRPr="00014EB8">
          <w:rPr>
            <w:rStyle w:val="Lienhypertexte"/>
            <w:rFonts w:ascii="Kohinoor Devanagari" w:eastAsia="Times New Roman" w:hAnsi="Kohinoor Devanagari" w:cs="Kohinoor Devanagari"/>
            <w:b/>
            <w:bCs/>
            <w:noProof/>
            <w:lang w:eastAsia="fr-FR"/>
          </w:rPr>
          <w:t>4.3.</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Identification des actions et des besoins</w:t>
        </w:r>
        <w:r>
          <w:rPr>
            <w:noProof/>
            <w:webHidden/>
          </w:rPr>
          <w:tab/>
        </w:r>
        <w:r>
          <w:rPr>
            <w:noProof/>
            <w:webHidden/>
          </w:rPr>
          <w:fldChar w:fldCharType="begin"/>
        </w:r>
        <w:r>
          <w:rPr>
            <w:noProof/>
            <w:webHidden/>
          </w:rPr>
          <w:instrText xml:space="preserve"> PAGEREF _Toc204691618 \h </w:instrText>
        </w:r>
        <w:r>
          <w:rPr>
            <w:noProof/>
            <w:webHidden/>
          </w:rPr>
        </w:r>
        <w:r>
          <w:rPr>
            <w:noProof/>
            <w:webHidden/>
          </w:rPr>
          <w:fldChar w:fldCharType="separate"/>
        </w:r>
        <w:r w:rsidR="00F436B4">
          <w:rPr>
            <w:noProof/>
            <w:webHidden/>
          </w:rPr>
          <w:t>59</w:t>
        </w:r>
        <w:r>
          <w:rPr>
            <w:noProof/>
            <w:webHidden/>
          </w:rPr>
          <w:fldChar w:fldCharType="end"/>
        </w:r>
      </w:hyperlink>
    </w:p>
    <w:p w14:paraId="1F8CA00F" w14:textId="270849DB"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19" w:history="1">
        <w:r w:rsidRPr="00014EB8">
          <w:rPr>
            <w:rStyle w:val="Lienhypertexte"/>
            <w:rFonts w:ascii="Kohinoor Devanagari" w:hAnsi="Kohinoor Devanagari" w:cs="Kohinoor Devanagari"/>
          </w:rPr>
          <w:t>5.</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Perception et attentes des Parties Prenantes</w:t>
        </w:r>
        <w:r>
          <w:rPr>
            <w:webHidden/>
          </w:rPr>
          <w:tab/>
        </w:r>
        <w:r>
          <w:rPr>
            <w:webHidden/>
          </w:rPr>
          <w:fldChar w:fldCharType="begin"/>
        </w:r>
        <w:r>
          <w:rPr>
            <w:webHidden/>
          </w:rPr>
          <w:instrText xml:space="preserve"> PAGEREF _Toc204691619 \h </w:instrText>
        </w:r>
        <w:r>
          <w:rPr>
            <w:webHidden/>
          </w:rPr>
        </w:r>
        <w:r>
          <w:rPr>
            <w:webHidden/>
          </w:rPr>
          <w:fldChar w:fldCharType="separate"/>
        </w:r>
        <w:r w:rsidR="00F436B4">
          <w:rPr>
            <w:webHidden/>
          </w:rPr>
          <w:t>72</w:t>
        </w:r>
        <w:r>
          <w:rPr>
            <w:webHidden/>
          </w:rPr>
          <w:fldChar w:fldCharType="end"/>
        </w:r>
      </w:hyperlink>
    </w:p>
    <w:p w14:paraId="70E528CD" w14:textId="76F54A5A" w:rsidR="003D3DAF" w:rsidRDefault="003D3DAF">
      <w:pPr>
        <w:pStyle w:val="TM2"/>
        <w:tabs>
          <w:tab w:val="left" w:pos="960"/>
          <w:tab w:val="right" w:leader="dot" w:pos="9338"/>
        </w:tabs>
        <w:rPr>
          <w:rFonts w:eastAsiaTheme="minorEastAsia"/>
          <w:noProof/>
          <w:sz w:val="24"/>
          <w:szCs w:val="24"/>
          <w:lang w:eastAsia="fr-FR"/>
        </w:rPr>
      </w:pPr>
      <w:hyperlink w:anchor="_Toc204691620" w:history="1">
        <w:r w:rsidRPr="00014EB8">
          <w:rPr>
            <w:rStyle w:val="Lienhypertexte"/>
            <w:rFonts w:ascii="Kohinoor Devanagari" w:eastAsia="Times New Roman" w:hAnsi="Kohinoor Devanagari" w:cs="Kohinoor Devanagari"/>
            <w:b/>
            <w:bCs/>
            <w:noProof/>
            <w:lang w:eastAsia="fr-FR"/>
          </w:rPr>
          <w:t>5.1.</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Analyse des perceptions et pratiques des fournisseurs de données ITIE</w:t>
        </w:r>
        <w:r>
          <w:rPr>
            <w:noProof/>
            <w:webHidden/>
          </w:rPr>
          <w:tab/>
        </w:r>
        <w:r>
          <w:rPr>
            <w:noProof/>
            <w:webHidden/>
          </w:rPr>
          <w:fldChar w:fldCharType="begin"/>
        </w:r>
        <w:r>
          <w:rPr>
            <w:noProof/>
            <w:webHidden/>
          </w:rPr>
          <w:instrText xml:space="preserve"> PAGEREF _Toc204691620 \h </w:instrText>
        </w:r>
        <w:r>
          <w:rPr>
            <w:noProof/>
            <w:webHidden/>
          </w:rPr>
        </w:r>
        <w:r>
          <w:rPr>
            <w:noProof/>
            <w:webHidden/>
          </w:rPr>
          <w:fldChar w:fldCharType="separate"/>
        </w:r>
        <w:r w:rsidR="00F436B4">
          <w:rPr>
            <w:noProof/>
            <w:webHidden/>
          </w:rPr>
          <w:t>72</w:t>
        </w:r>
        <w:r>
          <w:rPr>
            <w:noProof/>
            <w:webHidden/>
          </w:rPr>
          <w:fldChar w:fldCharType="end"/>
        </w:r>
      </w:hyperlink>
    </w:p>
    <w:p w14:paraId="225B3A02" w14:textId="1583B9E9" w:rsidR="003D3DAF" w:rsidRDefault="003D3DAF">
      <w:pPr>
        <w:pStyle w:val="TM2"/>
        <w:tabs>
          <w:tab w:val="left" w:pos="960"/>
          <w:tab w:val="right" w:leader="dot" w:pos="9338"/>
        </w:tabs>
        <w:rPr>
          <w:rFonts w:eastAsiaTheme="minorEastAsia"/>
          <w:noProof/>
          <w:sz w:val="24"/>
          <w:szCs w:val="24"/>
          <w:lang w:eastAsia="fr-FR"/>
        </w:rPr>
      </w:pPr>
      <w:hyperlink w:anchor="_Toc204691621" w:history="1">
        <w:r w:rsidRPr="00014EB8">
          <w:rPr>
            <w:rStyle w:val="Lienhypertexte"/>
            <w:rFonts w:ascii="Kohinoor Devanagari" w:eastAsia="Times New Roman" w:hAnsi="Kohinoor Devanagari" w:cs="Kohinoor Devanagari"/>
            <w:b/>
            <w:bCs/>
            <w:noProof/>
            <w:lang w:eastAsia="fr-FR"/>
          </w:rPr>
          <w:t>5.2.</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Analyse des perceptions et attentes des utilisateurs de données ITIE</w:t>
        </w:r>
        <w:r>
          <w:rPr>
            <w:noProof/>
            <w:webHidden/>
          </w:rPr>
          <w:tab/>
        </w:r>
        <w:r>
          <w:rPr>
            <w:noProof/>
            <w:webHidden/>
          </w:rPr>
          <w:fldChar w:fldCharType="begin"/>
        </w:r>
        <w:r>
          <w:rPr>
            <w:noProof/>
            <w:webHidden/>
          </w:rPr>
          <w:instrText xml:space="preserve"> PAGEREF _Toc204691621 \h </w:instrText>
        </w:r>
        <w:r>
          <w:rPr>
            <w:noProof/>
            <w:webHidden/>
          </w:rPr>
        </w:r>
        <w:r>
          <w:rPr>
            <w:noProof/>
            <w:webHidden/>
          </w:rPr>
          <w:fldChar w:fldCharType="separate"/>
        </w:r>
        <w:r w:rsidR="00F436B4">
          <w:rPr>
            <w:noProof/>
            <w:webHidden/>
          </w:rPr>
          <w:t>76</w:t>
        </w:r>
        <w:r>
          <w:rPr>
            <w:noProof/>
            <w:webHidden/>
          </w:rPr>
          <w:fldChar w:fldCharType="end"/>
        </w:r>
      </w:hyperlink>
    </w:p>
    <w:p w14:paraId="20CD2A2E" w14:textId="37B37F5B" w:rsidR="003D3DAF" w:rsidRDefault="003D3DAF">
      <w:pPr>
        <w:pStyle w:val="TM2"/>
        <w:tabs>
          <w:tab w:val="left" w:pos="960"/>
          <w:tab w:val="right" w:leader="dot" w:pos="9338"/>
        </w:tabs>
        <w:rPr>
          <w:rFonts w:eastAsiaTheme="minorEastAsia"/>
          <w:noProof/>
          <w:sz w:val="24"/>
          <w:szCs w:val="24"/>
          <w:lang w:eastAsia="fr-FR"/>
        </w:rPr>
      </w:pPr>
      <w:hyperlink w:anchor="_Toc204691622" w:history="1">
        <w:r w:rsidRPr="00014EB8">
          <w:rPr>
            <w:rStyle w:val="Lienhypertexte"/>
            <w:rFonts w:ascii="Kohinoor Devanagari" w:eastAsia="Times New Roman" w:hAnsi="Kohinoor Devanagari" w:cs="Kohinoor Devanagari"/>
            <w:b/>
            <w:bCs/>
            <w:noProof/>
            <w:lang w:eastAsia="fr-FR"/>
          </w:rPr>
          <w:t>5.3.</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Recommandations opérationnelles issues de l’enquête</w:t>
        </w:r>
        <w:r>
          <w:rPr>
            <w:noProof/>
            <w:webHidden/>
          </w:rPr>
          <w:tab/>
        </w:r>
        <w:r>
          <w:rPr>
            <w:noProof/>
            <w:webHidden/>
          </w:rPr>
          <w:fldChar w:fldCharType="begin"/>
        </w:r>
        <w:r>
          <w:rPr>
            <w:noProof/>
            <w:webHidden/>
          </w:rPr>
          <w:instrText xml:space="preserve"> PAGEREF _Toc204691622 \h </w:instrText>
        </w:r>
        <w:r>
          <w:rPr>
            <w:noProof/>
            <w:webHidden/>
          </w:rPr>
        </w:r>
        <w:r>
          <w:rPr>
            <w:noProof/>
            <w:webHidden/>
          </w:rPr>
          <w:fldChar w:fldCharType="separate"/>
        </w:r>
        <w:r w:rsidR="00F436B4">
          <w:rPr>
            <w:noProof/>
            <w:webHidden/>
          </w:rPr>
          <w:t>79</w:t>
        </w:r>
        <w:r>
          <w:rPr>
            <w:noProof/>
            <w:webHidden/>
          </w:rPr>
          <w:fldChar w:fldCharType="end"/>
        </w:r>
      </w:hyperlink>
    </w:p>
    <w:p w14:paraId="79D7FD2D" w14:textId="64E500D8"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23" w:history="1">
        <w:r w:rsidRPr="00014EB8">
          <w:rPr>
            <w:rStyle w:val="Lienhypertexte"/>
            <w:rFonts w:ascii="Kohinoor Devanagari" w:hAnsi="Kohinoor Devanagari" w:cs="Kohinoor Devanagari"/>
          </w:rPr>
          <w:t>6</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Impact de l’intégration sur le processus de l’ITIE au Cameroun</w:t>
        </w:r>
        <w:r>
          <w:rPr>
            <w:webHidden/>
          </w:rPr>
          <w:tab/>
        </w:r>
        <w:r>
          <w:rPr>
            <w:webHidden/>
          </w:rPr>
          <w:fldChar w:fldCharType="begin"/>
        </w:r>
        <w:r>
          <w:rPr>
            <w:webHidden/>
          </w:rPr>
          <w:instrText xml:space="preserve"> PAGEREF _Toc204691623 \h </w:instrText>
        </w:r>
        <w:r>
          <w:rPr>
            <w:webHidden/>
          </w:rPr>
        </w:r>
        <w:r>
          <w:rPr>
            <w:webHidden/>
          </w:rPr>
          <w:fldChar w:fldCharType="separate"/>
        </w:r>
        <w:r w:rsidR="00F436B4">
          <w:rPr>
            <w:webHidden/>
          </w:rPr>
          <w:t>82</w:t>
        </w:r>
        <w:r>
          <w:rPr>
            <w:webHidden/>
          </w:rPr>
          <w:fldChar w:fldCharType="end"/>
        </w:r>
      </w:hyperlink>
    </w:p>
    <w:p w14:paraId="6E1898B6" w14:textId="7CBC5CAC" w:rsidR="003D3DAF" w:rsidRDefault="003D3DAF">
      <w:pPr>
        <w:pStyle w:val="TM2"/>
        <w:tabs>
          <w:tab w:val="left" w:pos="960"/>
          <w:tab w:val="right" w:leader="dot" w:pos="9338"/>
        </w:tabs>
        <w:rPr>
          <w:rFonts w:eastAsiaTheme="minorEastAsia"/>
          <w:noProof/>
          <w:sz w:val="24"/>
          <w:szCs w:val="24"/>
          <w:lang w:eastAsia="fr-FR"/>
        </w:rPr>
      </w:pPr>
      <w:hyperlink w:anchor="_Toc204691624" w:history="1">
        <w:r w:rsidRPr="00014EB8">
          <w:rPr>
            <w:rStyle w:val="Lienhypertexte"/>
            <w:rFonts w:ascii="Kohinoor Devanagari" w:eastAsia="Times New Roman" w:hAnsi="Kohinoor Devanagari" w:cs="Kohinoor Devanagari"/>
            <w:b/>
            <w:bCs/>
            <w:noProof/>
            <w:lang w:eastAsia="fr-FR"/>
          </w:rPr>
          <w:t>6.1</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Principaux Risques liés à l’intégration de l’ITIE</w:t>
        </w:r>
        <w:r>
          <w:rPr>
            <w:noProof/>
            <w:webHidden/>
          </w:rPr>
          <w:tab/>
        </w:r>
        <w:r>
          <w:rPr>
            <w:noProof/>
            <w:webHidden/>
          </w:rPr>
          <w:fldChar w:fldCharType="begin"/>
        </w:r>
        <w:r>
          <w:rPr>
            <w:noProof/>
            <w:webHidden/>
          </w:rPr>
          <w:instrText xml:space="preserve"> PAGEREF _Toc204691624 \h </w:instrText>
        </w:r>
        <w:r>
          <w:rPr>
            <w:noProof/>
            <w:webHidden/>
          </w:rPr>
        </w:r>
        <w:r>
          <w:rPr>
            <w:noProof/>
            <w:webHidden/>
          </w:rPr>
          <w:fldChar w:fldCharType="separate"/>
        </w:r>
        <w:r w:rsidR="00F436B4">
          <w:rPr>
            <w:noProof/>
            <w:webHidden/>
          </w:rPr>
          <w:t>82</w:t>
        </w:r>
        <w:r>
          <w:rPr>
            <w:noProof/>
            <w:webHidden/>
          </w:rPr>
          <w:fldChar w:fldCharType="end"/>
        </w:r>
      </w:hyperlink>
    </w:p>
    <w:p w14:paraId="40A77794" w14:textId="5F65852E" w:rsidR="003D3DAF" w:rsidRDefault="003D3DAF">
      <w:pPr>
        <w:pStyle w:val="TM2"/>
        <w:tabs>
          <w:tab w:val="left" w:pos="960"/>
          <w:tab w:val="right" w:leader="dot" w:pos="9338"/>
        </w:tabs>
        <w:rPr>
          <w:rFonts w:eastAsiaTheme="minorEastAsia"/>
          <w:noProof/>
          <w:sz w:val="24"/>
          <w:szCs w:val="24"/>
          <w:lang w:eastAsia="fr-FR"/>
        </w:rPr>
      </w:pPr>
      <w:hyperlink w:anchor="_Toc204691625" w:history="1">
        <w:r w:rsidRPr="00014EB8">
          <w:rPr>
            <w:rStyle w:val="Lienhypertexte"/>
            <w:rFonts w:ascii="Kohinoor Devanagari" w:eastAsia="Times New Roman" w:hAnsi="Kohinoor Devanagari" w:cs="Kohinoor Devanagari"/>
            <w:b/>
            <w:bCs/>
            <w:noProof/>
            <w:lang w:eastAsia="fr-FR"/>
          </w:rPr>
          <w:t>6.2</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Opportunités liées à l’intégration ITIE</w:t>
        </w:r>
        <w:r>
          <w:rPr>
            <w:noProof/>
            <w:webHidden/>
          </w:rPr>
          <w:tab/>
        </w:r>
        <w:r>
          <w:rPr>
            <w:noProof/>
            <w:webHidden/>
          </w:rPr>
          <w:fldChar w:fldCharType="begin"/>
        </w:r>
        <w:r>
          <w:rPr>
            <w:noProof/>
            <w:webHidden/>
          </w:rPr>
          <w:instrText xml:space="preserve"> PAGEREF _Toc204691625 \h </w:instrText>
        </w:r>
        <w:r>
          <w:rPr>
            <w:noProof/>
            <w:webHidden/>
          </w:rPr>
        </w:r>
        <w:r>
          <w:rPr>
            <w:noProof/>
            <w:webHidden/>
          </w:rPr>
          <w:fldChar w:fldCharType="separate"/>
        </w:r>
        <w:r w:rsidR="00F436B4">
          <w:rPr>
            <w:noProof/>
            <w:webHidden/>
          </w:rPr>
          <w:t>83</w:t>
        </w:r>
        <w:r>
          <w:rPr>
            <w:noProof/>
            <w:webHidden/>
          </w:rPr>
          <w:fldChar w:fldCharType="end"/>
        </w:r>
      </w:hyperlink>
    </w:p>
    <w:p w14:paraId="73A32D2C" w14:textId="7728A635"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26" w:history="1">
        <w:r w:rsidRPr="00014EB8">
          <w:rPr>
            <w:rStyle w:val="Lienhypertexte"/>
            <w:rFonts w:ascii="Kohinoor Devanagari" w:hAnsi="Kohinoor Devanagari" w:cs="Kohinoor Devanagari"/>
          </w:rPr>
          <w:t>7</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Approche pour la divulgation systématique des données</w:t>
        </w:r>
        <w:r>
          <w:rPr>
            <w:webHidden/>
          </w:rPr>
          <w:tab/>
        </w:r>
        <w:r>
          <w:rPr>
            <w:webHidden/>
          </w:rPr>
          <w:fldChar w:fldCharType="begin"/>
        </w:r>
        <w:r>
          <w:rPr>
            <w:webHidden/>
          </w:rPr>
          <w:instrText xml:space="preserve"> PAGEREF _Toc204691626 \h </w:instrText>
        </w:r>
        <w:r>
          <w:rPr>
            <w:webHidden/>
          </w:rPr>
        </w:r>
        <w:r>
          <w:rPr>
            <w:webHidden/>
          </w:rPr>
          <w:fldChar w:fldCharType="separate"/>
        </w:r>
        <w:r w:rsidR="00F436B4">
          <w:rPr>
            <w:webHidden/>
          </w:rPr>
          <w:t>84</w:t>
        </w:r>
        <w:r>
          <w:rPr>
            <w:webHidden/>
          </w:rPr>
          <w:fldChar w:fldCharType="end"/>
        </w:r>
      </w:hyperlink>
    </w:p>
    <w:p w14:paraId="5608EAF7" w14:textId="7712732E" w:rsidR="003D3DAF" w:rsidRDefault="003D3DAF">
      <w:pPr>
        <w:pStyle w:val="TM2"/>
        <w:tabs>
          <w:tab w:val="left" w:pos="960"/>
          <w:tab w:val="right" w:leader="dot" w:pos="9338"/>
        </w:tabs>
        <w:rPr>
          <w:rFonts w:eastAsiaTheme="minorEastAsia"/>
          <w:noProof/>
          <w:sz w:val="24"/>
          <w:szCs w:val="24"/>
          <w:lang w:eastAsia="fr-FR"/>
        </w:rPr>
      </w:pPr>
      <w:hyperlink w:anchor="_Toc204691627" w:history="1">
        <w:r w:rsidRPr="00014EB8">
          <w:rPr>
            <w:rStyle w:val="Lienhypertexte"/>
            <w:rFonts w:ascii="Kohinoor Devanagari" w:eastAsia="Times New Roman" w:hAnsi="Kohinoor Devanagari" w:cs="Kohinoor Devanagari"/>
            <w:b/>
            <w:bCs/>
            <w:noProof/>
            <w:lang w:eastAsia="fr-FR"/>
          </w:rPr>
          <w:t>7.1</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Objectifs stratégiques et principes directeurs</w:t>
        </w:r>
        <w:r>
          <w:rPr>
            <w:noProof/>
            <w:webHidden/>
          </w:rPr>
          <w:tab/>
        </w:r>
        <w:r>
          <w:rPr>
            <w:noProof/>
            <w:webHidden/>
          </w:rPr>
          <w:fldChar w:fldCharType="begin"/>
        </w:r>
        <w:r>
          <w:rPr>
            <w:noProof/>
            <w:webHidden/>
          </w:rPr>
          <w:instrText xml:space="preserve"> PAGEREF _Toc204691627 \h </w:instrText>
        </w:r>
        <w:r>
          <w:rPr>
            <w:noProof/>
            <w:webHidden/>
          </w:rPr>
        </w:r>
        <w:r>
          <w:rPr>
            <w:noProof/>
            <w:webHidden/>
          </w:rPr>
          <w:fldChar w:fldCharType="separate"/>
        </w:r>
        <w:r w:rsidR="00F436B4">
          <w:rPr>
            <w:noProof/>
            <w:webHidden/>
          </w:rPr>
          <w:t>84</w:t>
        </w:r>
        <w:r>
          <w:rPr>
            <w:noProof/>
            <w:webHidden/>
          </w:rPr>
          <w:fldChar w:fldCharType="end"/>
        </w:r>
      </w:hyperlink>
    </w:p>
    <w:p w14:paraId="2F2AFAD8" w14:textId="4BD0A258" w:rsidR="003D3DAF" w:rsidRDefault="003D3DAF">
      <w:pPr>
        <w:pStyle w:val="TM2"/>
        <w:tabs>
          <w:tab w:val="left" w:pos="960"/>
          <w:tab w:val="right" w:leader="dot" w:pos="9338"/>
        </w:tabs>
        <w:rPr>
          <w:rFonts w:eastAsiaTheme="minorEastAsia"/>
          <w:noProof/>
          <w:sz w:val="24"/>
          <w:szCs w:val="24"/>
          <w:lang w:eastAsia="fr-FR"/>
        </w:rPr>
      </w:pPr>
      <w:hyperlink w:anchor="_Toc204691628" w:history="1">
        <w:r w:rsidRPr="00014EB8">
          <w:rPr>
            <w:rStyle w:val="Lienhypertexte"/>
            <w:rFonts w:ascii="Kohinoor Devanagari" w:eastAsia="Times New Roman" w:hAnsi="Kohinoor Devanagari" w:cs="Kohinoor Devanagari"/>
            <w:b/>
            <w:bCs/>
            <w:noProof/>
            <w:lang w:eastAsia="fr-FR"/>
          </w:rPr>
          <w:t>7.2</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Bilan et leviers existants</w:t>
        </w:r>
        <w:r>
          <w:rPr>
            <w:noProof/>
            <w:webHidden/>
          </w:rPr>
          <w:tab/>
        </w:r>
        <w:r>
          <w:rPr>
            <w:noProof/>
            <w:webHidden/>
          </w:rPr>
          <w:fldChar w:fldCharType="begin"/>
        </w:r>
        <w:r>
          <w:rPr>
            <w:noProof/>
            <w:webHidden/>
          </w:rPr>
          <w:instrText xml:space="preserve"> PAGEREF _Toc204691628 \h </w:instrText>
        </w:r>
        <w:r>
          <w:rPr>
            <w:noProof/>
            <w:webHidden/>
          </w:rPr>
        </w:r>
        <w:r>
          <w:rPr>
            <w:noProof/>
            <w:webHidden/>
          </w:rPr>
          <w:fldChar w:fldCharType="separate"/>
        </w:r>
        <w:r w:rsidR="00F436B4">
          <w:rPr>
            <w:noProof/>
            <w:webHidden/>
          </w:rPr>
          <w:t>84</w:t>
        </w:r>
        <w:r>
          <w:rPr>
            <w:noProof/>
            <w:webHidden/>
          </w:rPr>
          <w:fldChar w:fldCharType="end"/>
        </w:r>
      </w:hyperlink>
    </w:p>
    <w:p w14:paraId="1EE606A3" w14:textId="3EC1DDF7" w:rsidR="003D3DAF" w:rsidRDefault="003D3DAF">
      <w:pPr>
        <w:pStyle w:val="TM2"/>
        <w:tabs>
          <w:tab w:val="left" w:pos="960"/>
          <w:tab w:val="right" w:leader="dot" w:pos="9338"/>
        </w:tabs>
        <w:rPr>
          <w:rFonts w:eastAsiaTheme="minorEastAsia"/>
          <w:noProof/>
          <w:sz w:val="24"/>
          <w:szCs w:val="24"/>
          <w:lang w:eastAsia="fr-FR"/>
        </w:rPr>
      </w:pPr>
      <w:hyperlink w:anchor="_Toc204691629" w:history="1">
        <w:r w:rsidRPr="00014EB8">
          <w:rPr>
            <w:rStyle w:val="Lienhypertexte"/>
            <w:rFonts w:ascii="Kohinoor Devanagari" w:eastAsia="Times New Roman" w:hAnsi="Kohinoor Devanagari" w:cs="Kohinoor Devanagari"/>
            <w:b/>
            <w:bCs/>
            <w:noProof/>
            <w:lang w:eastAsia="fr-FR"/>
          </w:rPr>
          <w:t>7.3</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Étapes de mise en œuvre de la stratégie</w:t>
        </w:r>
        <w:r>
          <w:rPr>
            <w:noProof/>
            <w:webHidden/>
          </w:rPr>
          <w:tab/>
        </w:r>
        <w:r>
          <w:rPr>
            <w:noProof/>
            <w:webHidden/>
          </w:rPr>
          <w:fldChar w:fldCharType="begin"/>
        </w:r>
        <w:r>
          <w:rPr>
            <w:noProof/>
            <w:webHidden/>
          </w:rPr>
          <w:instrText xml:space="preserve"> PAGEREF _Toc204691629 \h </w:instrText>
        </w:r>
        <w:r>
          <w:rPr>
            <w:noProof/>
            <w:webHidden/>
          </w:rPr>
        </w:r>
        <w:r>
          <w:rPr>
            <w:noProof/>
            <w:webHidden/>
          </w:rPr>
          <w:fldChar w:fldCharType="separate"/>
        </w:r>
        <w:r w:rsidR="00F436B4">
          <w:rPr>
            <w:noProof/>
            <w:webHidden/>
          </w:rPr>
          <w:t>85</w:t>
        </w:r>
        <w:r>
          <w:rPr>
            <w:noProof/>
            <w:webHidden/>
          </w:rPr>
          <w:fldChar w:fldCharType="end"/>
        </w:r>
      </w:hyperlink>
    </w:p>
    <w:p w14:paraId="799970B4" w14:textId="2B22EF96" w:rsidR="003D3DAF" w:rsidRDefault="003D3DAF">
      <w:pPr>
        <w:pStyle w:val="TM2"/>
        <w:tabs>
          <w:tab w:val="left" w:pos="960"/>
          <w:tab w:val="right" w:leader="dot" w:pos="9338"/>
        </w:tabs>
        <w:rPr>
          <w:rFonts w:eastAsiaTheme="minorEastAsia"/>
          <w:noProof/>
          <w:sz w:val="24"/>
          <w:szCs w:val="24"/>
          <w:lang w:eastAsia="fr-FR"/>
        </w:rPr>
      </w:pPr>
      <w:hyperlink w:anchor="_Toc204691630" w:history="1">
        <w:r w:rsidRPr="00014EB8">
          <w:rPr>
            <w:rStyle w:val="Lienhypertexte"/>
            <w:rFonts w:ascii="Kohinoor Devanagari" w:eastAsia="Times New Roman" w:hAnsi="Kohinoor Devanagari" w:cs="Kohinoor Devanagari"/>
            <w:b/>
            <w:bCs/>
            <w:noProof/>
            <w:lang w:eastAsia="fr-FR"/>
          </w:rPr>
          <w:t>7.4</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Complémentarité avec les parties prenantes</w:t>
        </w:r>
        <w:r>
          <w:rPr>
            <w:noProof/>
            <w:webHidden/>
          </w:rPr>
          <w:tab/>
        </w:r>
        <w:r>
          <w:rPr>
            <w:noProof/>
            <w:webHidden/>
          </w:rPr>
          <w:fldChar w:fldCharType="begin"/>
        </w:r>
        <w:r>
          <w:rPr>
            <w:noProof/>
            <w:webHidden/>
          </w:rPr>
          <w:instrText xml:space="preserve"> PAGEREF _Toc204691630 \h </w:instrText>
        </w:r>
        <w:r>
          <w:rPr>
            <w:noProof/>
            <w:webHidden/>
          </w:rPr>
        </w:r>
        <w:r>
          <w:rPr>
            <w:noProof/>
            <w:webHidden/>
          </w:rPr>
          <w:fldChar w:fldCharType="separate"/>
        </w:r>
        <w:r w:rsidR="00F436B4">
          <w:rPr>
            <w:noProof/>
            <w:webHidden/>
          </w:rPr>
          <w:t>86</w:t>
        </w:r>
        <w:r>
          <w:rPr>
            <w:noProof/>
            <w:webHidden/>
          </w:rPr>
          <w:fldChar w:fldCharType="end"/>
        </w:r>
      </w:hyperlink>
    </w:p>
    <w:p w14:paraId="0E85B343" w14:textId="2B7F0523" w:rsidR="003D3DAF" w:rsidRDefault="003D3DAF">
      <w:pPr>
        <w:pStyle w:val="TM2"/>
        <w:tabs>
          <w:tab w:val="left" w:pos="960"/>
          <w:tab w:val="right" w:leader="dot" w:pos="9338"/>
        </w:tabs>
        <w:rPr>
          <w:rFonts w:eastAsiaTheme="minorEastAsia"/>
          <w:noProof/>
          <w:sz w:val="24"/>
          <w:szCs w:val="24"/>
          <w:lang w:eastAsia="fr-FR"/>
        </w:rPr>
      </w:pPr>
      <w:hyperlink w:anchor="_Toc204691631" w:history="1">
        <w:r w:rsidRPr="00014EB8">
          <w:rPr>
            <w:rStyle w:val="Lienhypertexte"/>
            <w:rFonts w:ascii="Kohinoor Devanagari" w:eastAsia="Times New Roman" w:hAnsi="Kohinoor Devanagari" w:cs="Kohinoor Devanagari"/>
            <w:b/>
            <w:bCs/>
            <w:noProof/>
            <w:lang w:eastAsia="fr-FR"/>
          </w:rPr>
          <w:t>7.5</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Assurance des données et gestion des risques</w:t>
        </w:r>
        <w:r>
          <w:rPr>
            <w:noProof/>
            <w:webHidden/>
          </w:rPr>
          <w:tab/>
        </w:r>
        <w:r>
          <w:rPr>
            <w:noProof/>
            <w:webHidden/>
          </w:rPr>
          <w:fldChar w:fldCharType="begin"/>
        </w:r>
        <w:r>
          <w:rPr>
            <w:noProof/>
            <w:webHidden/>
          </w:rPr>
          <w:instrText xml:space="preserve"> PAGEREF _Toc204691631 \h </w:instrText>
        </w:r>
        <w:r>
          <w:rPr>
            <w:noProof/>
            <w:webHidden/>
          </w:rPr>
        </w:r>
        <w:r>
          <w:rPr>
            <w:noProof/>
            <w:webHidden/>
          </w:rPr>
          <w:fldChar w:fldCharType="separate"/>
        </w:r>
        <w:r w:rsidR="00F436B4">
          <w:rPr>
            <w:noProof/>
            <w:webHidden/>
          </w:rPr>
          <w:t>87</w:t>
        </w:r>
        <w:r>
          <w:rPr>
            <w:noProof/>
            <w:webHidden/>
          </w:rPr>
          <w:fldChar w:fldCharType="end"/>
        </w:r>
      </w:hyperlink>
    </w:p>
    <w:p w14:paraId="3A3ACD35" w14:textId="440AB3CC" w:rsidR="003D3DAF" w:rsidRDefault="003D3DAF">
      <w:pPr>
        <w:pStyle w:val="TM2"/>
        <w:tabs>
          <w:tab w:val="left" w:pos="960"/>
          <w:tab w:val="right" w:leader="dot" w:pos="9338"/>
        </w:tabs>
        <w:rPr>
          <w:rFonts w:eastAsiaTheme="minorEastAsia"/>
          <w:noProof/>
          <w:sz w:val="24"/>
          <w:szCs w:val="24"/>
          <w:lang w:eastAsia="fr-FR"/>
        </w:rPr>
      </w:pPr>
      <w:hyperlink w:anchor="_Toc204691632" w:history="1">
        <w:r w:rsidRPr="00014EB8">
          <w:rPr>
            <w:rStyle w:val="Lienhypertexte"/>
            <w:rFonts w:ascii="Kohinoor Devanagari" w:eastAsia="Times New Roman" w:hAnsi="Kohinoor Devanagari" w:cs="Kohinoor Devanagari"/>
            <w:b/>
            <w:bCs/>
            <w:noProof/>
            <w:lang w:eastAsia="fr-FR"/>
          </w:rPr>
          <w:t>7.6</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Cadre de coordination et gouvernance</w:t>
        </w:r>
        <w:r>
          <w:rPr>
            <w:noProof/>
            <w:webHidden/>
          </w:rPr>
          <w:tab/>
        </w:r>
        <w:r>
          <w:rPr>
            <w:noProof/>
            <w:webHidden/>
          </w:rPr>
          <w:fldChar w:fldCharType="begin"/>
        </w:r>
        <w:r>
          <w:rPr>
            <w:noProof/>
            <w:webHidden/>
          </w:rPr>
          <w:instrText xml:space="preserve"> PAGEREF _Toc204691632 \h </w:instrText>
        </w:r>
        <w:r>
          <w:rPr>
            <w:noProof/>
            <w:webHidden/>
          </w:rPr>
        </w:r>
        <w:r>
          <w:rPr>
            <w:noProof/>
            <w:webHidden/>
          </w:rPr>
          <w:fldChar w:fldCharType="separate"/>
        </w:r>
        <w:r w:rsidR="00F436B4">
          <w:rPr>
            <w:noProof/>
            <w:webHidden/>
          </w:rPr>
          <w:t>88</w:t>
        </w:r>
        <w:r>
          <w:rPr>
            <w:noProof/>
            <w:webHidden/>
          </w:rPr>
          <w:fldChar w:fldCharType="end"/>
        </w:r>
      </w:hyperlink>
    </w:p>
    <w:p w14:paraId="7CDF491C" w14:textId="4E0D076E" w:rsidR="003D3DAF" w:rsidRDefault="003D3DAF">
      <w:pPr>
        <w:pStyle w:val="TM2"/>
        <w:tabs>
          <w:tab w:val="left" w:pos="960"/>
          <w:tab w:val="right" w:leader="dot" w:pos="9338"/>
        </w:tabs>
        <w:rPr>
          <w:rFonts w:eastAsiaTheme="minorEastAsia"/>
          <w:noProof/>
          <w:sz w:val="24"/>
          <w:szCs w:val="24"/>
          <w:lang w:eastAsia="fr-FR"/>
        </w:rPr>
      </w:pPr>
      <w:hyperlink w:anchor="_Toc204691633" w:history="1">
        <w:r w:rsidRPr="00014EB8">
          <w:rPr>
            <w:rStyle w:val="Lienhypertexte"/>
            <w:rFonts w:ascii="Kohinoor Devanagari" w:eastAsia="Times New Roman" w:hAnsi="Kohinoor Devanagari" w:cs="Kohinoor Devanagari"/>
            <w:b/>
            <w:bCs/>
            <w:noProof/>
            <w:lang w:eastAsia="fr-FR"/>
          </w:rPr>
          <w:t>7.7</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Besoins techniques prioritaires</w:t>
        </w:r>
        <w:r>
          <w:rPr>
            <w:noProof/>
            <w:webHidden/>
          </w:rPr>
          <w:tab/>
        </w:r>
        <w:r>
          <w:rPr>
            <w:noProof/>
            <w:webHidden/>
          </w:rPr>
          <w:fldChar w:fldCharType="begin"/>
        </w:r>
        <w:r>
          <w:rPr>
            <w:noProof/>
            <w:webHidden/>
          </w:rPr>
          <w:instrText xml:space="preserve"> PAGEREF _Toc204691633 \h </w:instrText>
        </w:r>
        <w:r>
          <w:rPr>
            <w:noProof/>
            <w:webHidden/>
          </w:rPr>
        </w:r>
        <w:r>
          <w:rPr>
            <w:noProof/>
            <w:webHidden/>
          </w:rPr>
          <w:fldChar w:fldCharType="separate"/>
        </w:r>
        <w:r w:rsidR="00F436B4">
          <w:rPr>
            <w:noProof/>
            <w:webHidden/>
          </w:rPr>
          <w:t>89</w:t>
        </w:r>
        <w:r>
          <w:rPr>
            <w:noProof/>
            <w:webHidden/>
          </w:rPr>
          <w:fldChar w:fldCharType="end"/>
        </w:r>
      </w:hyperlink>
    </w:p>
    <w:p w14:paraId="1D04B5BA" w14:textId="6CC04232" w:rsidR="003D3DAF" w:rsidRDefault="003D3DAF">
      <w:pPr>
        <w:pStyle w:val="TM2"/>
        <w:tabs>
          <w:tab w:val="left" w:pos="960"/>
          <w:tab w:val="right" w:leader="dot" w:pos="9338"/>
        </w:tabs>
        <w:rPr>
          <w:rFonts w:eastAsiaTheme="minorEastAsia"/>
          <w:noProof/>
          <w:sz w:val="24"/>
          <w:szCs w:val="24"/>
          <w:lang w:eastAsia="fr-FR"/>
        </w:rPr>
      </w:pPr>
      <w:hyperlink w:anchor="_Toc204691634" w:history="1">
        <w:r w:rsidRPr="00014EB8">
          <w:rPr>
            <w:rStyle w:val="Lienhypertexte"/>
            <w:rFonts w:ascii="Kohinoor Devanagari" w:eastAsia="Times New Roman" w:hAnsi="Kohinoor Devanagari" w:cs="Kohinoor Devanagari"/>
            <w:b/>
            <w:bCs/>
            <w:noProof/>
            <w:lang w:eastAsia="fr-FR"/>
          </w:rPr>
          <w:t>7.8</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Suivi, évaluation et indicateurs de performance</w:t>
        </w:r>
        <w:r>
          <w:rPr>
            <w:noProof/>
            <w:webHidden/>
          </w:rPr>
          <w:tab/>
        </w:r>
        <w:r>
          <w:rPr>
            <w:noProof/>
            <w:webHidden/>
          </w:rPr>
          <w:fldChar w:fldCharType="begin"/>
        </w:r>
        <w:r>
          <w:rPr>
            <w:noProof/>
            <w:webHidden/>
          </w:rPr>
          <w:instrText xml:space="preserve"> PAGEREF _Toc204691634 \h </w:instrText>
        </w:r>
        <w:r>
          <w:rPr>
            <w:noProof/>
            <w:webHidden/>
          </w:rPr>
        </w:r>
        <w:r>
          <w:rPr>
            <w:noProof/>
            <w:webHidden/>
          </w:rPr>
          <w:fldChar w:fldCharType="separate"/>
        </w:r>
        <w:r w:rsidR="00F436B4">
          <w:rPr>
            <w:noProof/>
            <w:webHidden/>
          </w:rPr>
          <w:t>90</w:t>
        </w:r>
        <w:r>
          <w:rPr>
            <w:noProof/>
            <w:webHidden/>
          </w:rPr>
          <w:fldChar w:fldCharType="end"/>
        </w:r>
      </w:hyperlink>
    </w:p>
    <w:p w14:paraId="58BC7277" w14:textId="0DC081F8" w:rsidR="003D3DAF" w:rsidRDefault="003D3DAF">
      <w:pPr>
        <w:pStyle w:val="TM2"/>
        <w:tabs>
          <w:tab w:val="left" w:pos="960"/>
          <w:tab w:val="right" w:leader="dot" w:pos="9338"/>
        </w:tabs>
        <w:rPr>
          <w:rFonts w:eastAsiaTheme="minorEastAsia"/>
          <w:noProof/>
          <w:sz w:val="24"/>
          <w:szCs w:val="24"/>
          <w:lang w:eastAsia="fr-FR"/>
        </w:rPr>
      </w:pPr>
      <w:hyperlink w:anchor="_Toc204691635" w:history="1">
        <w:r w:rsidRPr="00014EB8">
          <w:rPr>
            <w:rStyle w:val="Lienhypertexte"/>
            <w:rFonts w:ascii="Kohinoor Devanagari" w:eastAsia="Times New Roman" w:hAnsi="Kohinoor Devanagari" w:cs="Kohinoor Devanagari"/>
            <w:b/>
            <w:bCs/>
            <w:noProof/>
            <w:lang w:eastAsia="fr-FR"/>
          </w:rPr>
          <w:t>7.9</w:t>
        </w:r>
        <w:r>
          <w:rPr>
            <w:rFonts w:eastAsiaTheme="minorEastAsia"/>
            <w:noProof/>
            <w:sz w:val="24"/>
            <w:szCs w:val="24"/>
            <w:lang w:eastAsia="fr-FR"/>
          </w:rPr>
          <w:tab/>
        </w:r>
        <w:r w:rsidRPr="00014EB8">
          <w:rPr>
            <w:rStyle w:val="Lienhypertexte"/>
            <w:rFonts w:ascii="Kohinoor Devanagari" w:eastAsia="Times New Roman" w:hAnsi="Kohinoor Devanagari" w:cs="Kohinoor Devanagari"/>
            <w:b/>
            <w:bCs/>
            <w:noProof/>
            <w:lang w:eastAsia="fr-FR"/>
          </w:rPr>
          <w:t>Calendrier de mise en œuvre et points de vigilance</w:t>
        </w:r>
        <w:r>
          <w:rPr>
            <w:noProof/>
            <w:webHidden/>
          </w:rPr>
          <w:tab/>
        </w:r>
        <w:r>
          <w:rPr>
            <w:noProof/>
            <w:webHidden/>
          </w:rPr>
          <w:fldChar w:fldCharType="begin"/>
        </w:r>
        <w:r>
          <w:rPr>
            <w:noProof/>
            <w:webHidden/>
          </w:rPr>
          <w:instrText xml:space="preserve"> PAGEREF _Toc204691635 \h </w:instrText>
        </w:r>
        <w:r>
          <w:rPr>
            <w:noProof/>
            <w:webHidden/>
          </w:rPr>
        </w:r>
        <w:r>
          <w:rPr>
            <w:noProof/>
            <w:webHidden/>
          </w:rPr>
          <w:fldChar w:fldCharType="separate"/>
        </w:r>
        <w:r w:rsidR="00F436B4">
          <w:rPr>
            <w:noProof/>
            <w:webHidden/>
          </w:rPr>
          <w:t>90</w:t>
        </w:r>
        <w:r>
          <w:rPr>
            <w:noProof/>
            <w:webHidden/>
          </w:rPr>
          <w:fldChar w:fldCharType="end"/>
        </w:r>
      </w:hyperlink>
    </w:p>
    <w:p w14:paraId="50802D86" w14:textId="0CCC6C16"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36" w:history="1">
        <w:r w:rsidRPr="00014EB8">
          <w:rPr>
            <w:rStyle w:val="Lienhypertexte"/>
            <w:rFonts w:ascii="Kohinoor Devanagari" w:hAnsi="Kohinoor Devanagari" w:cs="Kohinoor Devanagari"/>
          </w:rPr>
          <w:t>8</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Feuille de route pour la mise en œuvre progressive de la divulgation systématique</w:t>
        </w:r>
        <w:r>
          <w:rPr>
            <w:webHidden/>
          </w:rPr>
          <w:tab/>
        </w:r>
        <w:r>
          <w:rPr>
            <w:webHidden/>
          </w:rPr>
          <w:fldChar w:fldCharType="begin"/>
        </w:r>
        <w:r>
          <w:rPr>
            <w:webHidden/>
          </w:rPr>
          <w:instrText xml:space="preserve"> PAGEREF _Toc204691636 \h </w:instrText>
        </w:r>
        <w:r>
          <w:rPr>
            <w:webHidden/>
          </w:rPr>
        </w:r>
        <w:r>
          <w:rPr>
            <w:webHidden/>
          </w:rPr>
          <w:fldChar w:fldCharType="separate"/>
        </w:r>
        <w:r w:rsidR="00F436B4">
          <w:rPr>
            <w:webHidden/>
          </w:rPr>
          <w:t>92</w:t>
        </w:r>
        <w:r>
          <w:rPr>
            <w:webHidden/>
          </w:rPr>
          <w:fldChar w:fldCharType="end"/>
        </w:r>
      </w:hyperlink>
    </w:p>
    <w:p w14:paraId="605F55E7" w14:textId="5CA914E5" w:rsidR="003D3DAF" w:rsidRDefault="003D3DAF">
      <w:pPr>
        <w:pStyle w:val="TM1"/>
        <w:rPr>
          <w:rFonts w:asciiTheme="minorHAnsi" w:eastAsiaTheme="minorEastAsia" w:hAnsiTheme="minorHAnsi" w:cstheme="minorBidi"/>
          <w:b w:val="0"/>
          <w:bCs w:val="0"/>
          <w:caps w:val="0"/>
          <w:kern w:val="2"/>
          <w:sz w:val="24"/>
          <w:szCs w:val="24"/>
          <w:lang w:eastAsia="fr-FR"/>
        </w:rPr>
      </w:pPr>
      <w:hyperlink w:anchor="_Toc204691637" w:history="1">
        <w:r w:rsidRPr="00014EB8">
          <w:rPr>
            <w:rStyle w:val="Lienhypertexte"/>
            <w:rFonts w:ascii="Kohinoor Devanagari" w:hAnsi="Kohinoor Devanagari" w:cs="Kohinoor Devanagari"/>
          </w:rPr>
          <w:t>9</w:t>
        </w:r>
        <w:r>
          <w:rPr>
            <w:rFonts w:asciiTheme="minorHAnsi" w:eastAsiaTheme="minorEastAsia" w:hAnsiTheme="minorHAnsi" w:cstheme="minorBidi"/>
            <w:b w:val="0"/>
            <w:bCs w:val="0"/>
            <w:caps w:val="0"/>
            <w:kern w:val="2"/>
            <w:sz w:val="24"/>
            <w:szCs w:val="24"/>
            <w:lang w:eastAsia="fr-FR"/>
          </w:rPr>
          <w:tab/>
        </w:r>
        <w:r w:rsidRPr="00014EB8">
          <w:rPr>
            <w:rStyle w:val="Lienhypertexte"/>
            <w:rFonts w:ascii="Kohinoor Devanagari" w:hAnsi="Kohinoor Devanagari" w:cs="Kohinoor Devanagari"/>
          </w:rPr>
          <w:t>Annexes</w:t>
        </w:r>
        <w:r>
          <w:rPr>
            <w:webHidden/>
          </w:rPr>
          <w:tab/>
        </w:r>
        <w:r>
          <w:rPr>
            <w:webHidden/>
          </w:rPr>
          <w:fldChar w:fldCharType="begin"/>
        </w:r>
        <w:r>
          <w:rPr>
            <w:webHidden/>
          </w:rPr>
          <w:instrText xml:space="preserve"> PAGEREF _Toc204691637 \h </w:instrText>
        </w:r>
        <w:r>
          <w:rPr>
            <w:webHidden/>
          </w:rPr>
        </w:r>
        <w:r>
          <w:rPr>
            <w:webHidden/>
          </w:rPr>
          <w:fldChar w:fldCharType="separate"/>
        </w:r>
        <w:r w:rsidR="00F436B4">
          <w:rPr>
            <w:webHidden/>
          </w:rPr>
          <w:t>96</w:t>
        </w:r>
        <w:r>
          <w:rPr>
            <w:webHidden/>
          </w:rPr>
          <w:fldChar w:fldCharType="end"/>
        </w:r>
      </w:hyperlink>
    </w:p>
    <w:p w14:paraId="446F7228" w14:textId="7B510080" w:rsidR="003D3DAF" w:rsidRDefault="003D3DAF">
      <w:pPr>
        <w:pStyle w:val="TM2"/>
        <w:tabs>
          <w:tab w:val="right" w:leader="dot" w:pos="9338"/>
        </w:tabs>
        <w:rPr>
          <w:rFonts w:eastAsiaTheme="minorEastAsia"/>
          <w:noProof/>
          <w:sz w:val="24"/>
          <w:szCs w:val="24"/>
          <w:lang w:eastAsia="fr-FR"/>
        </w:rPr>
      </w:pPr>
      <w:hyperlink w:anchor="_Toc204691638" w:history="1">
        <w:r w:rsidRPr="00014EB8">
          <w:rPr>
            <w:rStyle w:val="Lienhypertexte"/>
            <w:rFonts w:ascii="Kohinoor Devanagari" w:eastAsia="Times New Roman" w:hAnsi="Kohinoor Devanagari" w:cs="Kohinoor Devanagari"/>
            <w:b/>
            <w:bCs/>
            <w:noProof/>
            <w:kern w:val="0"/>
            <w:lang w:eastAsia="fr-FR"/>
            <w14:ligatures w14:val="none"/>
          </w:rPr>
          <w:t>9.1. Questionnaire de consultation des entités fournisseurs de données</w:t>
        </w:r>
        <w:r>
          <w:rPr>
            <w:noProof/>
            <w:webHidden/>
          </w:rPr>
          <w:tab/>
        </w:r>
        <w:r>
          <w:rPr>
            <w:noProof/>
            <w:webHidden/>
          </w:rPr>
          <w:fldChar w:fldCharType="begin"/>
        </w:r>
        <w:r>
          <w:rPr>
            <w:noProof/>
            <w:webHidden/>
          </w:rPr>
          <w:instrText xml:space="preserve"> PAGEREF _Toc204691638 \h </w:instrText>
        </w:r>
        <w:r>
          <w:rPr>
            <w:noProof/>
            <w:webHidden/>
          </w:rPr>
        </w:r>
        <w:r>
          <w:rPr>
            <w:noProof/>
            <w:webHidden/>
          </w:rPr>
          <w:fldChar w:fldCharType="separate"/>
        </w:r>
        <w:r w:rsidR="00F436B4">
          <w:rPr>
            <w:noProof/>
            <w:webHidden/>
          </w:rPr>
          <w:t>96</w:t>
        </w:r>
        <w:r>
          <w:rPr>
            <w:noProof/>
            <w:webHidden/>
          </w:rPr>
          <w:fldChar w:fldCharType="end"/>
        </w:r>
      </w:hyperlink>
    </w:p>
    <w:p w14:paraId="027B5050" w14:textId="58D308C4" w:rsidR="003D3DAF" w:rsidRDefault="003D3DAF">
      <w:pPr>
        <w:pStyle w:val="TM2"/>
        <w:tabs>
          <w:tab w:val="right" w:leader="dot" w:pos="9338"/>
        </w:tabs>
        <w:rPr>
          <w:rFonts w:eastAsiaTheme="minorEastAsia"/>
          <w:noProof/>
          <w:sz w:val="24"/>
          <w:szCs w:val="24"/>
          <w:lang w:eastAsia="fr-FR"/>
        </w:rPr>
      </w:pPr>
      <w:hyperlink w:anchor="_Toc204691639" w:history="1">
        <w:r w:rsidRPr="00014EB8">
          <w:rPr>
            <w:rStyle w:val="Lienhypertexte"/>
            <w:rFonts w:ascii="Kohinoor Devanagari" w:eastAsia="Times New Roman" w:hAnsi="Kohinoor Devanagari" w:cs="Kohinoor Devanagari"/>
            <w:b/>
            <w:bCs/>
            <w:noProof/>
            <w:kern w:val="0"/>
            <w:lang w:eastAsia="fr-FR"/>
            <w14:ligatures w14:val="none"/>
          </w:rPr>
          <w:t>9.2. Questionnaire de consultation des utilisateurs des données</w:t>
        </w:r>
        <w:r>
          <w:rPr>
            <w:noProof/>
            <w:webHidden/>
          </w:rPr>
          <w:tab/>
        </w:r>
        <w:r>
          <w:rPr>
            <w:noProof/>
            <w:webHidden/>
          </w:rPr>
          <w:fldChar w:fldCharType="begin"/>
        </w:r>
        <w:r>
          <w:rPr>
            <w:noProof/>
            <w:webHidden/>
          </w:rPr>
          <w:instrText xml:space="preserve"> PAGEREF _Toc204691639 \h </w:instrText>
        </w:r>
        <w:r>
          <w:rPr>
            <w:noProof/>
            <w:webHidden/>
          </w:rPr>
        </w:r>
        <w:r>
          <w:rPr>
            <w:noProof/>
            <w:webHidden/>
          </w:rPr>
          <w:fldChar w:fldCharType="separate"/>
        </w:r>
        <w:r w:rsidR="00F436B4">
          <w:rPr>
            <w:noProof/>
            <w:webHidden/>
          </w:rPr>
          <w:t>104</w:t>
        </w:r>
        <w:r>
          <w:rPr>
            <w:noProof/>
            <w:webHidden/>
          </w:rPr>
          <w:fldChar w:fldCharType="end"/>
        </w:r>
      </w:hyperlink>
    </w:p>
    <w:p w14:paraId="4FC4B021" w14:textId="404676BD" w:rsidR="003D3DAF" w:rsidRDefault="003D3DAF">
      <w:pPr>
        <w:pStyle w:val="TM2"/>
        <w:tabs>
          <w:tab w:val="right" w:leader="dot" w:pos="9338"/>
        </w:tabs>
        <w:rPr>
          <w:rFonts w:eastAsiaTheme="minorEastAsia"/>
          <w:noProof/>
          <w:sz w:val="24"/>
          <w:szCs w:val="24"/>
          <w:lang w:eastAsia="fr-FR"/>
        </w:rPr>
      </w:pPr>
      <w:hyperlink w:anchor="_Toc204691640" w:history="1">
        <w:r w:rsidRPr="00014EB8">
          <w:rPr>
            <w:rStyle w:val="Lienhypertexte"/>
            <w:rFonts w:ascii="Kohinoor Devanagari" w:eastAsia="Times New Roman" w:hAnsi="Kohinoor Devanagari" w:cs="Kohinoor Devanagari"/>
            <w:b/>
            <w:bCs/>
            <w:noProof/>
            <w:kern w:val="0"/>
            <w:lang w:eastAsia="fr-FR"/>
            <w14:ligatures w14:val="none"/>
          </w:rPr>
          <w:t>9.3. Mapping de la divulgation systématique des données (Ficher Excel joint au rapport)</w:t>
        </w:r>
        <w:r>
          <w:rPr>
            <w:noProof/>
            <w:webHidden/>
          </w:rPr>
          <w:tab/>
        </w:r>
        <w:r>
          <w:rPr>
            <w:noProof/>
            <w:webHidden/>
          </w:rPr>
          <w:fldChar w:fldCharType="begin"/>
        </w:r>
        <w:r>
          <w:rPr>
            <w:noProof/>
            <w:webHidden/>
          </w:rPr>
          <w:instrText xml:space="preserve"> PAGEREF _Toc204691640 \h </w:instrText>
        </w:r>
        <w:r>
          <w:rPr>
            <w:noProof/>
            <w:webHidden/>
          </w:rPr>
        </w:r>
        <w:r>
          <w:rPr>
            <w:noProof/>
            <w:webHidden/>
          </w:rPr>
          <w:fldChar w:fldCharType="separate"/>
        </w:r>
        <w:r w:rsidR="00F436B4">
          <w:rPr>
            <w:noProof/>
            <w:webHidden/>
          </w:rPr>
          <w:t>108</w:t>
        </w:r>
        <w:r>
          <w:rPr>
            <w:noProof/>
            <w:webHidden/>
          </w:rPr>
          <w:fldChar w:fldCharType="end"/>
        </w:r>
      </w:hyperlink>
    </w:p>
    <w:p w14:paraId="5E527C7B" w14:textId="47A5BC21" w:rsidR="004218C6" w:rsidRPr="009B3188" w:rsidRDefault="004218C6" w:rsidP="004218C6">
      <w:pPr>
        <w:rPr>
          <w:rFonts w:ascii="Kohinoor Devanagari" w:hAnsi="Kohinoor Devanagari" w:cs="Kohinoor Devanagari"/>
        </w:rPr>
      </w:pPr>
      <w:r w:rsidRPr="009B3188">
        <w:rPr>
          <w:rFonts w:ascii="Kohinoor Devanagari" w:hAnsi="Kohinoor Devanagari" w:cs="Kohinoor Devanagari"/>
        </w:rPr>
        <w:fldChar w:fldCharType="end"/>
      </w:r>
    </w:p>
    <w:p w14:paraId="1D7E5679" w14:textId="77777777" w:rsidR="004218C6" w:rsidRPr="009B3188" w:rsidRDefault="004218C6" w:rsidP="004218C6">
      <w:pPr>
        <w:rPr>
          <w:rFonts w:ascii="Kohinoor Devanagari" w:hAnsi="Kohinoor Devanagari" w:cs="Kohinoor Devanagari"/>
        </w:rPr>
      </w:pPr>
      <w:r w:rsidRPr="009B3188">
        <w:rPr>
          <w:rFonts w:ascii="Kohinoor Devanagari" w:hAnsi="Kohinoor Devanagari" w:cs="Kohinoor Devanagari"/>
        </w:rPr>
        <w:br w:type="page"/>
      </w:r>
    </w:p>
    <w:bookmarkEnd w:id="0"/>
    <w:p w14:paraId="12C826FE" w14:textId="77777777" w:rsidR="004218C6" w:rsidRPr="009B3188" w:rsidRDefault="004218C6" w:rsidP="004218C6">
      <w:pPr>
        <w:rPr>
          <w:rFonts w:ascii="Kohinoor Devanagari" w:hAnsi="Kohinoor Devanagari" w:cs="Kohinoor Devanagari"/>
        </w:rPr>
        <w:sectPr w:rsidR="004218C6" w:rsidRPr="009B3188" w:rsidSect="00405547">
          <w:headerReference w:type="default" r:id="rId17"/>
          <w:footerReference w:type="default" r:id="rId18"/>
          <w:pgSz w:w="11900" w:h="16840"/>
          <w:pgMar w:top="1418" w:right="1134" w:bottom="1418" w:left="1418" w:header="567" w:footer="567" w:gutter="0"/>
          <w:cols w:space="708"/>
          <w:docGrid w:linePitch="360"/>
        </w:sectPr>
      </w:pPr>
    </w:p>
    <w:p w14:paraId="5E27331B" w14:textId="77777777" w:rsidR="000A0123" w:rsidRDefault="000A0123" w:rsidP="00D40D98">
      <w:pPr>
        <w:spacing w:after="60" w:line="240" w:lineRule="auto"/>
        <w:rPr>
          <w:rFonts w:ascii="Kohinoor Devanagari" w:eastAsia="Trebuchet MS" w:hAnsi="Kohinoor Devanagari" w:cs="Kohinoor Devanagari"/>
          <w:b/>
          <w:color w:val="61BC4D"/>
          <w:kern w:val="0"/>
          <w:sz w:val="24"/>
          <w:szCs w:val="24"/>
          <w:lang w:eastAsia="en-GB"/>
          <w14:ligatures w14:val="none"/>
        </w:rPr>
      </w:pPr>
      <w:bookmarkStart w:id="1" w:name="_Toc536002910"/>
      <w:r w:rsidRPr="009B3188">
        <w:rPr>
          <w:rFonts w:ascii="Kohinoor Devanagari" w:eastAsia="Trebuchet MS" w:hAnsi="Kohinoor Devanagari" w:cs="Kohinoor Devanagari"/>
          <w:b/>
          <w:color w:val="61BC4D"/>
          <w:kern w:val="0"/>
          <w:sz w:val="24"/>
          <w:szCs w:val="24"/>
          <w:lang w:eastAsia="en-GB"/>
          <w14:ligatures w14:val="none"/>
        </w:rPr>
        <w:lastRenderedPageBreak/>
        <w:t xml:space="preserve">Liste des abréviations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7566"/>
      </w:tblGrid>
      <w:tr w:rsidR="00C74CD5" w:rsidRPr="00C74CD5" w14:paraId="7153B635" w14:textId="77777777" w:rsidTr="000F35D2">
        <w:tc>
          <w:tcPr>
            <w:tcW w:w="0" w:type="auto"/>
            <w:shd w:val="clear" w:color="auto" w:fill="47626F"/>
            <w:hideMark/>
          </w:tcPr>
          <w:p w14:paraId="71565AFE" w14:textId="77777777" w:rsidR="00C74CD5" w:rsidRPr="00C74CD5" w:rsidRDefault="00C74CD5" w:rsidP="007C1B49">
            <w:pPr>
              <w:spacing w:before="40" w:after="40"/>
              <w:rPr>
                <w:rFonts w:ascii="Kohinoor Devanagari" w:hAnsi="Kohinoor Devanagari" w:cs="Kohinoor Devanagari"/>
                <w:b/>
                <w:bCs/>
                <w:color w:val="FFFFFF" w:themeColor="background1"/>
                <w:sz w:val="20"/>
                <w:szCs w:val="20"/>
              </w:rPr>
            </w:pPr>
            <w:r w:rsidRPr="00C74CD5">
              <w:rPr>
                <w:rFonts w:ascii="Kohinoor Devanagari" w:hAnsi="Kohinoor Devanagari" w:cs="Kohinoor Devanagari"/>
                <w:b/>
                <w:bCs/>
                <w:color w:val="FFFFFF" w:themeColor="background1"/>
                <w:sz w:val="20"/>
                <w:szCs w:val="20"/>
              </w:rPr>
              <w:t>Abréviation</w:t>
            </w:r>
          </w:p>
        </w:tc>
        <w:tc>
          <w:tcPr>
            <w:tcW w:w="0" w:type="auto"/>
            <w:shd w:val="clear" w:color="auto" w:fill="47626F"/>
            <w:hideMark/>
          </w:tcPr>
          <w:p w14:paraId="18EDAEB3" w14:textId="77777777" w:rsidR="00C74CD5" w:rsidRPr="00C74CD5" w:rsidRDefault="00C74CD5" w:rsidP="007C1B49">
            <w:pPr>
              <w:spacing w:before="40" w:after="40"/>
              <w:rPr>
                <w:rFonts w:ascii="Kohinoor Devanagari" w:hAnsi="Kohinoor Devanagari" w:cs="Kohinoor Devanagari"/>
                <w:b/>
                <w:bCs/>
                <w:color w:val="FFFFFF" w:themeColor="background1"/>
                <w:sz w:val="20"/>
                <w:szCs w:val="20"/>
              </w:rPr>
            </w:pPr>
            <w:r w:rsidRPr="00C74CD5">
              <w:rPr>
                <w:rFonts w:ascii="Kohinoor Devanagari" w:hAnsi="Kohinoor Devanagari" w:cs="Kohinoor Devanagari"/>
                <w:b/>
                <w:bCs/>
                <w:color w:val="FFFFFF" w:themeColor="background1"/>
                <w:sz w:val="20"/>
                <w:szCs w:val="20"/>
              </w:rPr>
              <w:t>Signification</w:t>
            </w:r>
          </w:p>
        </w:tc>
      </w:tr>
      <w:tr w:rsidR="00C74CD5" w:rsidRPr="00C74CD5" w14:paraId="4D6320D4" w14:textId="77777777" w:rsidTr="000F35D2">
        <w:tc>
          <w:tcPr>
            <w:tcW w:w="0" w:type="auto"/>
            <w:hideMark/>
          </w:tcPr>
          <w:p w14:paraId="3381FD66"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BE</w:t>
            </w:r>
          </w:p>
        </w:tc>
        <w:tc>
          <w:tcPr>
            <w:tcW w:w="0" w:type="auto"/>
            <w:hideMark/>
          </w:tcPr>
          <w:p w14:paraId="1CE30C7F"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Bénéficiaire Effectif</w:t>
            </w:r>
          </w:p>
        </w:tc>
      </w:tr>
      <w:tr w:rsidR="00C74CD5" w:rsidRPr="00C74CD5" w14:paraId="2BA0E29C" w14:textId="77777777" w:rsidTr="000F35D2">
        <w:tc>
          <w:tcPr>
            <w:tcW w:w="0" w:type="auto"/>
            <w:shd w:val="clear" w:color="auto" w:fill="E2EFD9" w:themeFill="accent6" w:themeFillTint="33"/>
            <w:hideMark/>
          </w:tcPr>
          <w:p w14:paraId="6EEF43CC"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CAMCIS</w:t>
            </w:r>
          </w:p>
        </w:tc>
        <w:tc>
          <w:tcPr>
            <w:tcW w:w="0" w:type="auto"/>
            <w:shd w:val="clear" w:color="auto" w:fill="E2EFD9" w:themeFill="accent6" w:themeFillTint="33"/>
            <w:hideMark/>
          </w:tcPr>
          <w:p w14:paraId="6C08E0B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proofErr w:type="spellStart"/>
            <w:r w:rsidRPr="00C74CD5">
              <w:rPr>
                <w:rFonts w:ascii="Kohinoor Devanagari" w:eastAsia="Times New Roman" w:hAnsi="Kohinoor Devanagari" w:cs="Kohinoor Devanagari"/>
                <w:kern w:val="0"/>
                <w:sz w:val="20"/>
                <w:szCs w:val="20"/>
                <w:lang w:eastAsia="en-GB"/>
                <w14:ligatures w14:val="none"/>
              </w:rPr>
              <w:t>Cameroon</w:t>
            </w:r>
            <w:proofErr w:type="spellEnd"/>
            <w:r w:rsidRPr="00C74CD5">
              <w:rPr>
                <w:rFonts w:ascii="Kohinoor Devanagari" w:eastAsia="Times New Roman" w:hAnsi="Kohinoor Devanagari" w:cs="Kohinoor Devanagari"/>
                <w:kern w:val="0"/>
                <w:sz w:val="20"/>
                <w:szCs w:val="20"/>
                <w:lang w:eastAsia="en-GB"/>
                <w14:ligatures w14:val="none"/>
              </w:rPr>
              <w:t xml:space="preserve"> Customs Information System</w:t>
            </w:r>
          </w:p>
        </w:tc>
      </w:tr>
      <w:tr w:rsidR="00C74CD5" w:rsidRPr="00C74CD5" w14:paraId="2F7FA378" w14:textId="77777777" w:rsidTr="000F35D2">
        <w:tc>
          <w:tcPr>
            <w:tcW w:w="0" w:type="auto"/>
            <w:hideMark/>
          </w:tcPr>
          <w:p w14:paraId="56223B55"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CEMAC</w:t>
            </w:r>
          </w:p>
        </w:tc>
        <w:tc>
          <w:tcPr>
            <w:tcW w:w="0" w:type="auto"/>
            <w:hideMark/>
          </w:tcPr>
          <w:p w14:paraId="7A4B22B6"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Communauté Économique et Monétaire de l’Afrique Centrale</w:t>
            </w:r>
          </w:p>
        </w:tc>
      </w:tr>
      <w:tr w:rsidR="00C74CD5" w:rsidRPr="00C74CD5" w14:paraId="11546D39" w14:textId="77777777" w:rsidTr="000F35D2">
        <w:tc>
          <w:tcPr>
            <w:tcW w:w="0" w:type="auto"/>
            <w:shd w:val="clear" w:color="auto" w:fill="E2EFD9" w:themeFill="accent6" w:themeFillTint="33"/>
            <w:hideMark/>
          </w:tcPr>
          <w:p w14:paraId="151594D7"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CTS</w:t>
            </w:r>
          </w:p>
        </w:tc>
        <w:tc>
          <w:tcPr>
            <w:tcW w:w="0" w:type="auto"/>
            <w:shd w:val="clear" w:color="auto" w:fill="E2EFD9" w:themeFill="accent6" w:themeFillTint="33"/>
            <w:hideMark/>
          </w:tcPr>
          <w:p w14:paraId="77FBC8D4"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Comité Technique de Suivi des Programmes Économiques</w:t>
            </w:r>
          </w:p>
        </w:tc>
      </w:tr>
      <w:tr w:rsidR="00C74CD5" w:rsidRPr="00C74CD5" w14:paraId="359587BC" w14:textId="77777777" w:rsidTr="000F35D2">
        <w:tc>
          <w:tcPr>
            <w:tcW w:w="0" w:type="auto"/>
            <w:hideMark/>
          </w:tcPr>
          <w:p w14:paraId="6EEECF17"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DGB</w:t>
            </w:r>
          </w:p>
        </w:tc>
        <w:tc>
          <w:tcPr>
            <w:tcW w:w="0" w:type="auto"/>
            <w:hideMark/>
          </w:tcPr>
          <w:p w14:paraId="5A8B85B6"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Direction Générale du Budget</w:t>
            </w:r>
          </w:p>
        </w:tc>
      </w:tr>
      <w:tr w:rsidR="00C74CD5" w:rsidRPr="00C74CD5" w14:paraId="22E61607" w14:textId="77777777" w:rsidTr="000F35D2">
        <w:tc>
          <w:tcPr>
            <w:tcW w:w="0" w:type="auto"/>
            <w:shd w:val="clear" w:color="auto" w:fill="E2EFD9" w:themeFill="accent6" w:themeFillTint="33"/>
            <w:hideMark/>
          </w:tcPr>
          <w:p w14:paraId="4485115C"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DGD</w:t>
            </w:r>
          </w:p>
        </w:tc>
        <w:tc>
          <w:tcPr>
            <w:tcW w:w="0" w:type="auto"/>
            <w:shd w:val="clear" w:color="auto" w:fill="E2EFD9" w:themeFill="accent6" w:themeFillTint="33"/>
            <w:hideMark/>
          </w:tcPr>
          <w:p w14:paraId="3FF7DD00"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Direction Générale des Douanes</w:t>
            </w:r>
          </w:p>
        </w:tc>
      </w:tr>
      <w:tr w:rsidR="00C74CD5" w:rsidRPr="00C74CD5" w14:paraId="671F4F46" w14:textId="77777777" w:rsidTr="000F35D2">
        <w:tc>
          <w:tcPr>
            <w:tcW w:w="0" w:type="auto"/>
            <w:hideMark/>
          </w:tcPr>
          <w:p w14:paraId="6FE7D9E4"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DGE</w:t>
            </w:r>
          </w:p>
        </w:tc>
        <w:tc>
          <w:tcPr>
            <w:tcW w:w="0" w:type="auto"/>
            <w:hideMark/>
          </w:tcPr>
          <w:p w14:paraId="2C9EE76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Direction Générale des Entreprises</w:t>
            </w:r>
          </w:p>
        </w:tc>
      </w:tr>
      <w:tr w:rsidR="00C74CD5" w:rsidRPr="00C74CD5" w14:paraId="4E0A653C" w14:textId="77777777" w:rsidTr="000F35D2">
        <w:tc>
          <w:tcPr>
            <w:tcW w:w="0" w:type="auto"/>
            <w:shd w:val="clear" w:color="auto" w:fill="E2EFD9" w:themeFill="accent6" w:themeFillTint="33"/>
            <w:hideMark/>
          </w:tcPr>
          <w:p w14:paraId="373124DE"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DGI</w:t>
            </w:r>
          </w:p>
        </w:tc>
        <w:tc>
          <w:tcPr>
            <w:tcW w:w="0" w:type="auto"/>
            <w:shd w:val="clear" w:color="auto" w:fill="E2EFD9" w:themeFill="accent6" w:themeFillTint="33"/>
            <w:hideMark/>
          </w:tcPr>
          <w:p w14:paraId="73603CD3"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Direction Générale des Impôts</w:t>
            </w:r>
          </w:p>
        </w:tc>
      </w:tr>
      <w:tr w:rsidR="00C74CD5" w:rsidRPr="00C74CD5" w14:paraId="5F01EAD1" w14:textId="77777777" w:rsidTr="000F35D2">
        <w:tc>
          <w:tcPr>
            <w:tcW w:w="0" w:type="auto"/>
            <w:hideMark/>
          </w:tcPr>
          <w:p w14:paraId="7FDA8EED"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DGTCFM</w:t>
            </w:r>
          </w:p>
        </w:tc>
        <w:tc>
          <w:tcPr>
            <w:tcW w:w="0" w:type="auto"/>
            <w:hideMark/>
          </w:tcPr>
          <w:p w14:paraId="7EAA1C05"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Direction Générale du Trésor, de la Coopération Financière et Monétaire</w:t>
            </w:r>
          </w:p>
        </w:tc>
      </w:tr>
      <w:tr w:rsidR="00C74CD5" w:rsidRPr="00C74CD5" w14:paraId="2F3B2658" w14:textId="77777777" w:rsidTr="000F35D2">
        <w:tc>
          <w:tcPr>
            <w:tcW w:w="0" w:type="auto"/>
            <w:shd w:val="clear" w:color="auto" w:fill="E2EFD9" w:themeFill="accent6" w:themeFillTint="33"/>
            <w:hideMark/>
          </w:tcPr>
          <w:p w14:paraId="679A4FA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EIES</w:t>
            </w:r>
          </w:p>
        </w:tc>
        <w:tc>
          <w:tcPr>
            <w:tcW w:w="0" w:type="auto"/>
            <w:shd w:val="clear" w:color="auto" w:fill="E2EFD9" w:themeFill="accent6" w:themeFillTint="33"/>
            <w:hideMark/>
          </w:tcPr>
          <w:p w14:paraId="25EDCF6C"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Étude d’Impact Environnemental et Social</w:t>
            </w:r>
          </w:p>
        </w:tc>
      </w:tr>
      <w:tr w:rsidR="00C74CD5" w:rsidRPr="00C74CD5" w14:paraId="347A652C" w14:textId="77777777" w:rsidTr="000F35D2">
        <w:tc>
          <w:tcPr>
            <w:tcW w:w="0" w:type="auto"/>
            <w:hideMark/>
          </w:tcPr>
          <w:p w14:paraId="0B3ADC15"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EITI/ITIE</w:t>
            </w:r>
          </w:p>
        </w:tc>
        <w:tc>
          <w:tcPr>
            <w:tcW w:w="0" w:type="auto"/>
            <w:hideMark/>
          </w:tcPr>
          <w:p w14:paraId="6C19CA7F"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Extractive Industries Transparency Initiative / Initiative pour la Transparence dans les Industries Extractives</w:t>
            </w:r>
          </w:p>
        </w:tc>
      </w:tr>
      <w:tr w:rsidR="00C74CD5" w:rsidRPr="00C74CD5" w14:paraId="32557D17" w14:textId="77777777" w:rsidTr="000F35D2">
        <w:tc>
          <w:tcPr>
            <w:tcW w:w="0" w:type="auto"/>
            <w:shd w:val="clear" w:color="auto" w:fill="E2EFD9" w:themeFill="accent6" w:themeFillTint="33"/>
            <w:hideMark/>
          </w:tcPr>
          <w:p w14:paraId="56880659"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FMI</w:t>
            </w:r>
          </w:p>
        </w:tc>
        <w:tc>
          <w:tcPr>
            <w:tcW w:w="0" w:type="auto"/>
            <w:shd w:val="clear" w:color="auto" w:fill="E2EFD9" w:themeFill="accent6" w:themeFillTint="33"/>
            <w:hideMark/>
          </w:tcPr>
          <w:p w14:paraId="3B687B78"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Fonds Monétaire International</w:t>
            </w:r>
          </w:p>
        </w:tc>
      </w:tr>
      <w:tr w:rsidR="00C74CD5" w:rsidRPr="00C74CD5" w14:paraId="3995D5E6" w14:textId="77777777" w:rsidTr="000F35D2">
        <w:tc>
          <w:tcPr>
            <w:tcW w:w="0" w:type="auto"/>
            <w:hideMark/>
          </w:tcPr>
          <w:p w14:paraId="14ACB4AC"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INS</w:t>
            </w:r>
          </w:p>
        </w:tc>
        <w:tc>
          <w:tcPr>
            <w:tcW w:w="0" w:type="auto"/>
            <w:hideMark/>
          </w:tcPr>
          <w:p w14:paraId="409BF1BE"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Institut National de la Statistique</w:t>
            </w:r>
          </w:p>
        </w:tc>
      </w:tr>
      <w:tr w:rsidR="00C74CD5" w:rsidRPr="00C74CD5" w14:paraId="358097F3" w14:textId="77777777" w:rsidTr="000F35D2">
        <w:tc>
          <w:tcPr>
            <w:tcW w:w="0" w:type="auto"/>
            <w:shd w:val="clear" w:color="auto" w:fill="E2EFD9" w:themeFill="accent6" w:themeFillTint="33"/>
            <w:hideMark/>
          </w:tcPr>
          <w:p w14:paraId="443BA428"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IS</w:t>
            </w:r>
          </w:p>
        </w:tc>
        <w:tc>
          <w:tcPr>
            <w:tcW w:w="0" w:type="auto"/>
            <w:shd w:val="clear" w:color="auto" w:fill="E2EFD9" w:themeFill="accent6" w:themeFillTint="33"/>
            <w:hideMark/>
          </w:tcPr>
          <w:p w14:paraId="3F1576EF"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Impôt sur les Sociétés</w:t>
            </w:r>
          </w:p>
        </w:tc>
      </w:tr>
      <w:tr w:rsidR="00C74CD5" w:rsidRPr="00C74CD5" w14:paraId="0962A04A" w14:textId="77777777" w:rsidTr="000F35D2">
        <w:tc>
          <w:tcPr>
            <w:tcW w:w="0" w:type="auto"/>
            <w:hideMark/>
          </w:tcPr>
          <w:p w14:paraId="2152190D"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ISML</w:t>
            </w:r>
          </w:p>
        </w:tc>
        <w:tc>
          <w:tcPr>
            <w:tcW w:w="0" w:type="auto"/>
            <w:hideMark/>
          </w:tcPr>
          <w:p w14:paraId="6597BE0B"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Impôt Spécial sur les Mines et Carrières</w:t>
            </w:r>
          </w:p>
        </w:tc>
      </w:tr>
      <w:tr w:rsidR="00C74CD5" w:rsidRPr="00C74CD5" w14:paraId="6145A05B" w14:textId="77777777" w:rsidTr="000F35D2">
        <w:tc>
          <w:tcPr>
            <w:tcW w:w="0" w:type="auto"/>
            <w:shd w:val="clear" w:color="auto" w:fill="E2EFD9" w:themeFill="accent6" w:themeFillTint="33"/>
            <w:hideMark/>
          </w:tcPr>
          <w:p w14:paraId="27ABE6C4"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MEFD</w:t>
            </w:r>
          </w:p>
        </w:tc>
        <w:tc>
          <w:tcPr>
            <w:tcW w:w="0" w:type="auto"/>
            <w:shd w:val="clear" w:color="auto" w:fill="E2EFD9" w:themeFill="accent6" w:themeFillTint="33"/>
            <w:hideMark/>
          </w:tcPr>
          <w:p w14:paraId="08C0A34E"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Ministère de l’Économie et des Finances du Développement</w:t>
            </w:r>
          </w:p>
        </w:tc>
      </w:tr>
      <w:tr w:rsidR="00C74CD5" w:rsidRPr="00C74CD5" w14:paraId="6AFAF0AA" w14:textId="77777777" w:rsidTr="000F35D2">
        <w:tc>
          <w:tcPr>
            <w:tcW w:w="0" w:type="auto"/>
            <w:hideMark/>
          </w:tcPr>
          <w:p w14:paraId="4725A5AA"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MINFI</w:t>
            </w:r>
          </w:p>
        </w:tc>
        <w:tc>
          <w:tcPr>
            <w:tcW w:w="0" w:type="auto"/>
            <w:hideMark/>
          </w:tcPr>
          <w:p w14:paraId="0A514619"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Ministère des Finances</w:t>
            </w:r>
          </w:p>
        </w:tc>
      </w:tr>
      <w:tr w:rsidR="00C74CD5" w:rsidRPr="00C74CD5" w14:paraId="7B7A91DB" w14:textId="77777777" w:rsidTr="000F35D2">
        <w:tc>
          <w:tcPr>
            <w:tcW w:w="0" w:type="auto"/>
            <w:shd w:val="clear" w:color="auto" w:fill="E2EFD9" w:themeFill="accent6" w:themeFillTint="33"/>
            <w:hideMark/>
          </w:tcPr>
          <w:p w14:paraId="37EFA3D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MINJUSTICE</w:t>
            </w:r>
          </w:p>
        </w:tc>
        <w:tc>
          <w:tcPr>
            <w:tcW w:w="0" w:type="auto"/>
            <w:shd w:val="clear" w:color="auto" w:fill="E2EFD9" w:themeFill="accent6" w:themeFillTint="33"/>
            <w:hideMark/>
          </w:tcPr>
          <w:p w14:paraId="7F6C5EB7"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Ministère de la Justice</w:t>
            </w:r>
          </w:p>
        </w:tc>
      </w:tr>
      <w:tr w:rsidR="00C74CD5" w:rsidRPr="00C74CD5" w14:paraId="78233EA8" w14:textId="77777777" w:rsidTr="000F35D2">
        <w:tc>
          <w:tcPr>
            <w:tcW w:w="0" w:type="auto"/>
            <w:hideMark/>
          </w:tcPr>
          <w:p w14:paraId="283A76AC"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MINMIDT</w:t>
            </w:r>
          </w:p>
        </w:tc>
        <w:tc>
          <w:tcPr>
            <w:tcW w:w="0" w:type="auto"/>
            <w:hideMark/>
          </w:tcPr>
          <w:p w14:paraId="65E75E8D"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Ministère des Mines, de l’Industrie et du Développement Technologique</w:t>
            </w:r>
          </w:p>
        </w:tc>
      </w:tr>
      <w:tr w:rsidR="00C74CD5" w:rsidRPr="00C74CD5" w14:paraId="37A400F4" w14:textId="77777777" w:rsidTr="000F35D2">
        <w:tc>
          <w:tcPr>
            <w:tcW w:w="0" w:type="auto"/>
            <w:shd w:val="clear" w:color="auto" w:fill="E2EFD9" w:themeFill="accent6" w:themeFillTint="33"/>
            <w:hideMark/>
          </w:tcPr>
          <w:p w14:paraId="7B27A166"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MINEPDED</w:t>
            </w:r>
          </w:p>
        </w:tc>
        <w:tc>
          <w:tcPr>
            <w:tcW w:w="0" w:type="auto"/>
            <w:shd w:val="clear" w:color="auto" w:fill="E2EFD9" w:themeFill="accent6" w:themeFillTint="33"/>
            <w:hideMark/>
          </w:tcPr>
          <w:p w14:paraId="3A67B553"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Ministère de l’Environnement, de la Protection de la Nature et du Développement Durable</w:t>
            </w:r>
          </w:p>
        </w:tc>
      </w:tr>
      <w:tr w:rsidR="00C74CD5" w:rsidRPr="00C74CD5" w14:paraId="525FE764" w14:textId="77777777" w:rsidTr="000F35D2">
        <w:tc>
          <w:tcPr>
            <w:tcW w:w="0" w:type="auto"/>
            <w:hideMark/>
          </w:tcPr>
          <w:p w14:paraId="29C55547"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MINEPAT</w:t>
            </w:r>
          </w:p>
        </w:tc>
        <w:tc>
          <w:tcPr>
            <w:tcW w:w="0" w:type="auto"/>
            <w:hideMark/>
          </w:tcPr>
          <w:p w14:paraId="126546F5"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Ministère de l’Économie, de la Planification et de l’Aménagement du Territoire</w:t>
            </w:r>
          </w:p>
        </w:tc>
      </w:tr>
      <w:tr w:rsidR="00C74CD5" w:rsidRPr="00C74CD5" w14:paraId="14DFE65B" w14:textId="77777777" w:rsidTr="000F35D2">
        <w:tc>
          <w:tcPr>
            <w:tcW w:w="0" w:type="auto"/>
            <w:shd w:val="clear" w:color="auto" w:fill="E2EFD9" w:themeFill="accent6" w:themeFillTint="33"/>
            <w:hideMark/>
          </w:tcPr>
          <w:p w14:paraId="443CBE9F"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MSG</w:t>
            </w:r>
          </w:p>
        </w:tc>
        <w:tc>
          <w:tcPr>
            <w:tcW w:w="0" w:type="auto"/>
            <w:shd w:val="clear" w:color="auto" w:fill="E2EFD9" w:themeFill="accent6" w:themeFillTint="33"/>
            <w:hideMark/>
          </w:tcPr>
          <w:p w14:paraId="6969A4B0"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Multi-Stakeholder Group (Groupe multipartite)</w:t>
            </w:r>
          </w:p>
        </w:tc>
      </w:tr>
      <w:tr w:rsidR="00C74CD5" w:rsidRPr="00C74CD5" w14:paraId="401B7B12" w14:textId="77777777" w:rsidTr="000F35D2">
        <w:tc>
          <w:tcPr>
            <w:tcW w:w="0" w:type="auto"/>
            <w:hideMark/>
          </w:tcPr>
          <w:p w14:paraId="6C94F28B"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OCDE</w:t>
            </w:r>
          </w:p>
        </w:tc>
        <w:tc>
          <w:tcPr>
            <w:tcW w:w="0" w:type="auto"/>
            <w:hideMark/>
          </w:tcPr>
          <w:p w14:paraId="2929B542"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Organisation de Coopération et de Développement Économiques</w:t>
            </w:r>
          </w:p>
        </w:tc>
      </w:tr>
      <w:tr w:rsidR="00C74CD5" w:rsidRPr="00C74CD5" w14:paraId="3F25539F" w14:textId="77777777" w:rsidTr="000F35D2">
        <w:tc>
          <w:tcPr>
            <w:tcW w:w="0" w:type="auto"/>
            <w:shd w:val="clear" w:color="auto" w:fill="E2EFD9" w:themeFill="accent6" w:themeFillTint="33"/>
            <w:hideMark/>
          </w:tcPr>
          <w:p w14:paraId="794D3010"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OSC</w:t>
            </w:r>
          </w:p>
        </w:tc>
        <w:tc>
          <w:tcPr>
            <w:tcW w:w="0" w:type="auto"/>
            <w:shd w:val="clear" w:color="auto" w:fill="E2EFD9" w:themeFill="accent6" w:themeFillTint="33"/>
            <w:hideMark/>
          </w:tcPr>
          <w:p w14:paraId="2139BD7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Organisation de la Société Civile</w:t>
            </w:r>
          </w:p>
        </w:tc>
      </w:tr>
      <w:tr w:rsidR="00C74CD5" w:rsidRPr="00C74CD5" w14:paraId="2D600323" w14:textId="77777777" w:rsidTr="000F35D2">
        <w:tc>
          <w:tcPr>
            <w:tcW w:w="0" w:type="auto"/>
            <w:hideMark/>
          </w:tcPr>
          <w:p w14:paraId="1605BDC0"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PATRIMONIE</w:t>
            </w:r>
          </w:p>
        </w:tc>
        <w:tc>
          <w:tcPr>
            <w:tcW w:w="0" w:type="auto"/>
            <w:hideMark/>
          </w:tcPr>
          <w:p w14:paraId="754D310F"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Plateforme d’Administration du Trésor et d’Intégration des Moyens Opérationnels Numériques Interconnectés de l’État</w:t>
            </w:r>
          </w:p>
        </w:tc>
      </w:tr>
      <w:tr w:rsidR="00C74CD5" w:rsidRPr="00C74CD5" w14:paraId="61B9291C" w14:textId="77777777" w:rsidTr="000F35D2">
        <w:tc>
          <w:tcPr>
            <w:tcW w:w="0" w:type="auto"/>
            <w:shd w:val="clear" w:color="auto" w:fill="E2EFD9" w:themeFill="accent6" w:themeFillTint="33"/>
            <w:hideMark/>
          </w:tcPr>
          <w:p w14:paraId="576524C3"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RCCM</w:t>
            </w:r>
          </w:p>
        </w:tc>
        <w:tc>
          <w:tcPr>
            <w:tcW w:w="0" w:type="auto"/>
            <w:shd w:val="clear" w:color="auto" w:fill="E2EFD9" w:themeFill="accent6" w:themeFillTint="33"/>
            <w:hideMark/>
          </w:tcPr>
          <w:p w14:paraId="5E403EE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Registre du Commerce et du Crédit Mobilier</w:t>
            </w:r>
          </w:p>
        </w:tc>
      </w:tr>
      <w:tr w:rsidR="00C74CD5" w:rsidRPr="00C74CD5" w14:paraId="0314E570" w14:textId="77777777" w:rsidTr="00323431">
        <w:tc>
          <w:tcPr>
            <w:tcW w:w="0" w:type="auto"/>
            <w:hideMark/>
          </w:tcPr>
          <w:p w14:paraId="39E84E70"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SNI</w:t>
            </w:r>
          </w:p>
        </w:tc>
        <w:tc>
          <w:tcPr>
            <w:tcW w:w="0" w:type="auto"/>
            <w:hideMark/>
          </w:tcPr>
          <w:p w14:paraId="2015E592"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Société Nationale d’Investissement</w:t>
            </w:r>
          </w:p>
        </w:tc>
      </w:tr>
      <w:tr w:rsidR="00C74CD5" w:rsidRPr="00C74CD5" w14:paraId="18ADC490" w14:textId="77777777" w:rsidTr="00323431">
        <w:tc>
          <w:tcPr>
            <w:tcW w:w="0" w:type="auto"/>
            <w:shd w:val="clear" w:color="auto" w:fill="E2EFD9" w:themeFill="accent6" w:themeFillTint="33"/>
            <w:hideMark/>
          </w:tcPr>
          <w:p w14:paraId="53B2B388"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SNH</w:t>
            </w:r>
          </w:p>
        </w:tc>
        <w:tc>
          <w:tcPr>
            <w:tcW w:w="0" w:type="auto"/>
            <w:shd w:val="clear" w:color="auto" w:fill="E2EFD9" w:themeFill="accent6" w:themeFillTint="33"/>
            <w:hideMark/>
          </w:tcPr>
          <w:p w14:paraId="099E4AF1"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Société Nationale des Hydrocarbures</w:t>
            </w:r>
          </w:p>
        </w:tc>
      </w:tr>
      <w:tr w:rsidR="00C74CD5" w:rsidRPr="00C74CD5" w14:paraId="6BF5822F" w14:textId="77777777" w:rsidTr="00323431">
        <w:tc>
          <w:tcPr>
            <w:tcW w:w="0" w:type="auto"/>
            <w:hideMark/>
          </w:tcPr>
          <w:p w14:paraId="5D5A86F3"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SONAMINES</w:t>
            </w:r>
          </w:p>
        </w:tc>
        <w:tc>
          <w:tcPr>
            <w:tcW w:w="0" w:type="auto"/>
            <w:hideMark/>
          </w:tcPr>
          <w:p w14:paraId="74F812C8"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Société Nationale des Mines</w:t>
            </w:r>
          </w:p>
        </w:tc>
      </w:tr>
      <w:tr w:rsidR="00C74CD5" w:rsidRPr="00C74CD5" w14:paraId="2A698BBA" w14:textId="77777777" w:rsidTr="00323431">
        <w:tc>
          <w:tcPr>
            <w:tcW w:w="0" w:type="auto"/>
            <w:shd w:val="clear" w:color="auto" w:fill="E2EFD9" w:themeFill="accent6" w:themeFillTint="33"/>
            <w:hideMark/>
          </w:tcPr>
          <w:p w14:paraId="449024E8"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SP ITIE</w:t>
            </w:r>
          </w:p>
        </w:tc>
        <w:tc>
          <w:tcPr>
            <w:tcW w:w="0" w:type="auto"/>
            <w:shd w:val="clear" w:color="auto" w:fill="E2EFD9" w:themeFill="accent6" w:themeFillTint="33"/>
            <w:hideMark/>
          </w:tcPr>
          <w:p w14:paraId="68E4BE68" w14:textId="77777777" w:rsidR="00C74CD5" w:rsidRPr="00C74CD5" w:rsidRDefault="00C74CD5" w:rsidP="00754115">
            <w:pPr>
              <w:rPr>
                <w:rFonts w:ascii="Kohinoor Devanagari" w:eastAsia="Times New Roman" w:hAnsi="Kohinoor Devanagari" w:cs="Kohinoor Devanagari"/>
                <w:kern w:val="0"/>
                <w:sz w:val="20"/>
                <w:szCs w:val="20"/>
                <w:lang w:eastAsia="en-GB"/>
                <w14:ligatures w14:val="none"/>
              </w:rPr>
            </w:pPr>
            <w:r w:rsidRPr="00C74CD5">
              <w:rPr>
                <w:rFonts w:ascii="Kohinoor Devanagari" w:eastAsia="Times New Roman" w:hAnsi="Kohinoor Devanagari" w:cs="Kohinoor Devanagari"/>
                <w:kern w:val="0"/>
                <w:sz w:val="20"/>
                <w:szCs w:val="20"/>
                <w:lang w:eastAsia="en-GB"/>
                <w14:ligatures w14:val="none"/>
              </w:rPr>
              <w:t>Secrétariat Permanent de l’ITIE</w:t>
            </w:r>
          </w:p>
        </w:tc>
      </w:tr>
    </w:tbl>
    <w:p w14:paraId="5380091C" w14:textId="41102D02" w:rsidR="00082F92" w:rsidRDefault="00082F92" w:rsidP="00C74CD5">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p>
    <w:p w14:paraId="249B6D0F" w14:textId="77777777" w:rsidR="00082F92" w:rsidRDefault="00082F92">
      <w:pPr>
        <w:rPr>
          <w:rFonts w:ascii="Kohinoor Devanagari" w:eastAsia="Times New Roman" w:hAnsi="Kohinoor Devanagari" w:cs="Kohinoor Devanagari"/>
          <w:color w:val="0D0D0D"/>
          <w:kern w:val="0"/>
          <w:sz w:val="20"/>
          <w:szCs w:val="20"/>
          <w:lang w:eastAsia="fr-FR"/>
          <w14:ligatures w14:val="none"/>
        </w:rPr>
      </w:pPr>
      <w:r>
        <w:rPr>
          <w:rFonts w:ascii="Kohinoor Devanagari" w:eastAsia="Times New Roman" w:hAnsi="Kohinoor Devanagari" w:cs="Kohinoor Devanagari"/>
          <w:color w:val="0D0D0D"/>
          <w:kern w:val="0"/>
          <w:sz w:val="20"/>
          <w:szCs w:val="20"/>
          <w:lang w:eastAsia="fr-FR"/>
          <w14:ligatures w14:val="none"/>
        </w:rPr>
        <w:br w:type="page"/>
      </w:r>
    </w:p>
    <w:bookmarkEnd w:id="1"/>
    <w:p w14:paraId="168EE218" w14:textId="32528018" w:rsidR="00E019D7" w:rsidRPr="009B3188" w:rsidRDefault="00E019D7" w:rsidP="00D40D98">
      <w:pPr>
        <w:rPr>
          <w:rFonts w:ascii="Kohinoor Devanagari" w:eastAsia="Times New Roman" w:hAnsi="Kohinoor Devanagari" w:cs="Kohinoor Devanagari"/>
          <w:b/>
          <w:bCs/>
          <w:color w:val="61BC4D"/>
          <w:kern w:val="0"/>
          <w:sz w:val="32"/>
          <w:szCs w:val="32"/>
          <w:lang w:eastAsia="fr-FR"/>
        </w:rPr>
      </w:pPr>
      <w:r w:rsidRPr="009B3188">
        <w:rPr>
          <w:rFonts w:ascii="Kohinoor Devanagari" w:eastAsia="Times New Roman" w:hAnsi="Kohinoor Devanagari" w:cs="Kohinoor Devanagari"/>
          <w:b/>
          <w:bCs/>
          <w:color w:val="61BC4D"/>
          <w:kern w:val="0"/>
          <w:sz w:val="32"/>
          <w:szCs w:val="32"/>
          <w:lang w:eastAsia="fr-FR"/>
        </w:rPr>
        <w:lastRenderedPageBreak/>
        <w:t xml:space="preserve">Étude de Faisabilité pour </w:t>
      </w:r>
      <w:r w:rsidR="001C5667" w:rsidRPr="009B3188">
        <w:rPr>
          <w:rFonts w:ascii="Kohinoor Devanagari" w:eastAsia="Times New Roman" w:hAnsi="Kohinoor Devanagari" w:cs="Kohinoor Devanagari"/>
          <w:b/>
          <w:bCs/>
          <w:color w:val="61BC4D"/>
          <w:kern w:val="0"/>
          <w:sz w:val="32"/>
          <w:szCs w:val="32"/>
          <w:lang w:eastAsia="fr-FR"/>
        </w:rPr>
        <w:t xml:space="preserve">la divulgation </w:t>
      </w:r>
      <w:r w:rsidR="00C72515" w:rsidRPr="009B3188">
        <w:rPr>
          <w:rFonts w:ascii="Kohinoor Devanagari" w:eastAsia="Times New Roman" w:hAnsi="Kohinoor Devanagari" w:cs="Kohinoor Devanagari"/>
          <w:b/>
          <w:bCs/>
          <w:color w:val="61BC4D"/>
          <w:kern w:val="0"/>
          <w:sz w:val="32"/>
          <w:szCs w:val="32"/>
          <w:lang w:eastAsia="fr-FR"/>
        </w:rPr>
        <w:t>systématique</w:t>
      </w:r>
      <w:r w:rsidR="001C5667" w:rsidRPr="009B3188">
        <w:rPr>
          <w:rFonts w:ascii="Kohinoor Devanagari" w:eastAsia="Times New Roman" w:hAnsi="Kohinoor Devanagari" w:cs="Kohinoor Devanagari"/>
          <w:b/>
          <w:bCs/>
          <w:color w:val="61BC4D"/>
          <w:kern w:val="0"/>
          <w:sz w:val="32"/>
          <w:szCs w:val="32"/>
          <w:lang w:eastAsia="fr-FR"/>
        </w:rPr>
        <w:t xml:space="preserve"> des données ITIE </w:t>
      </w:r>
      <w:r w:rsidR="00EB0450" w:rsidRPr="009B3188">
        <w:rPr>
          <w:rFonts w:ascii="Kohinoor Devanagari" w:eastAsia="Times New Roman" w:hAnsi="Kohinoor Devanagari" w:cs="Kohinoor Devanagari"/>
          <w:b/>
          <w:bCs/>
          <w:color w:val="61BC4D"/>
          <w:kern w:val="0"/>
          <w:sz w:val="32"/>
          <w:szCs w:val="32"/>
          <w:lang w:eastAsia="fr-FR"/>
        </w:rPr>
        <w:t>au Cameroun</w:t>
      </w:r>
    </w:p>
    <w:p w14:paraId="0852D30C" w14:textId="45684593" w:rsidR="00946E63" w:rsidRPr="009B3188" w:rsidRDefault="00946E63" w:rsidP="00F97162">
      <w:pPr>
        <w:pStyle w:val="Titre1"/>
        <w:numPr>
          <w:ilvl w:val="0"/>
          <w:numId w:val="1"/>
        </w:numPr>
        <w:shd w:val="clear" w:color="auto" w:fill="61BC4D"/>
        <w:spacing w:before="0" w:line="240" w:lineRule="auto"/>
        <w:ind w:left="357" w:hanging="357"/>
        <w:rPr>
          <w:rFonts w:ascii="Kohinoor Devanagari" w:hAnsi="Kohinoor Devanagari" w:cs="Kohinoor Devanagari"/>
          <w:b/>
          <w:bCs/>
          <w:color w:val="FFFFFF" w:themeColor="background1"/>
          <w:sz w:val="26"/>
          <w:szCs w:val="26"/>
        </w:rPr>
      </w:pPr>
      <w:bookmarkStart w:id="2" w:name="_Toc204691607"/>
      <w:r w:rsidRPr="009B3188">
        <w:rPr>
          <w:rFonts w:ascii="Kohinoor Devanagari" w:hAnsi="Kohinoor Devanagari" w:cs="Kohinoor Devanagari"/>
          <w:b/>
          <w:bCs/>
          <w:color w:val="FFFFFF" w:themeColor="background1"/>
          <w:sz w:val="26"/>
          <w:szCs w:val="26"/>
        </w:rPr>
        <w:t>Résumé Exécutif</w:t>
      </w:r>
      <w:bookmarkEnd w:id="2"/>
    </w:p>
    <w:p w14:paraId="0D9A8BBD" w14:textId="59A1FC00" w:rsidR="00347AAB" w:rsidRPr="009B3188" w:rsidRDefault="00347AAB" w:rsidP="00180D10">
      <w:pPr>
        <w:shd w:val="clear" w:color="auto" w:fill="FFFFFF"/>
        <w:spacing w:before="120" w:after="120" w:line="240" w:lineRule="auto"/>
        <w:rPr>
          <w:rFonts w:ascii="Kohinoor Devanagari" w:eastAsia="Times New Roman" w:hAnsi="Kohinoor Devanagari" w:cs="Kohinoor Devanagari"/>
          <w:color w:val="0D0D0D"/>
          <w:kern w:val="0"/>
          <w:lang w:eastAsia="fr-FR"/>
          <w14:ligatures w14:val="none"/>
        </w:rPr>
      </w:pPr>
      <w:r w:rsidRPr="009B3188">
        <w:rPr>
          <w:rFonts w:ascii="Kohinoor Devanagari" w:eastAsia="Times New Roman" w:hAnsi="Kohinoor Devanagari" w:cs="Kohinoor Devanagari"/>
          <w:b/>
          <w:bCs/>
          <w:color w:val="0D0D0D"/>
          <w:kern w:val="0"/>
          <w:lang w:eastAsia="fr-FR"/>
          <w14:ligatures w14:val="none"/>
        </w:rPr>
        <w:t xml:space="preserve">Contexte et Objectifs </w:t>
      </w:r>
    </w:p>
    <w:p w14:paraId="1945828F" w14:textId="7170C04E" w:rsidR="009675C9" w:rsidRPr="009C55F1" w:rsidRDefault="009675C9" w:rsidP="00180D10">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9C55F1">
        <w:rPr>
          <w:rFonts w:ascii="Kohinoor Devanagari" w:eastAsia="Times New Roman" w:hAnsi="Kohinoor Devanagari" w:cs="Kohinoor Devanagari"/>
          <w:color w:val="0D0D0D"/>
          <w:kern w:val="0"/>
          <w:sz w:val="20"/>
          <w:szCs w:val="20"/>
          <w:lang w:eastAsia="fr-FR"/>
          <w14:ligatures w14:val="none"/>
        </w:rPr>
        <w:t xml:space="preserve">Le Cameroun, riche en ressources naturelles, a adhéré à l’Initiative pour la Transparence dans les Industries Extractives (ITIE) en 2007 afin de promouvoir une gouvernance responsable du secteur extractif. Malgré les efforts de publication annuels, les processus actuels de collecte et de compilation des données ITIE demeurent manuels, fragmentés et peu systématiques. Cette étude vise à évaluer la faisabilité de la divulgation systématique des données ITIE à travers les systèmes publics existants (tels que PATRIMONIE, CAMSIS, </w:t>
      </w:r>
      <w:proofErr w:type="spellStart"/>
      <w:r w:rsidRPr="009C55F1">
        <w:rPr>
          <w:rFonts w:ascii="Kohinoor Devanagari" w:eastAsia="Times New Roman" w:hAnsi="Kohinoor Devanagari" w:cs="Kohinoor Devanagari"/>
          <w:color w:val="0D0D0D"/>
          <w:kern w:val="0"/>
          <w:sz w:val="20"/>
          <w:szCs w:val="20"/>
          <w:lang w:eastAsia="fr-FR"/>
          <w14:ligatures w14:val="none"/>
        </w:rPr>
        <w:t>Flexicadastre</w:t>
      </w:r>
      <w:proofErr w:type="spellEnd"/>
      <w:r w:rsidR="00180D10" w:rsidRPr="009C55F1">
        <w:rPr>
          <w:rFonts w:ascii="Kohinoor Devanagari" w:eastAsia="Times New Roman" w:hAnsi="Kohinoor Devanagari" w:cs="Kohinoor Devanagari"/>
          <w:color w:val="0D0D0D"/>
          <w:kern w:val="0"/>
          <w:sz w:val="20"/>
          <w:szCs w:val="20"/>
          <w:lang w:eastAsia="fr-FR"/>
          <w14:ligatures w14:val="none"/>
        </w:rPr>
        <w:t xml:space="preserve">, </w:t>
      </w:r>
      <w:proofErr w:type="spellStart"/>
      <w:r w:rsidR="00180D10" w:rsidRPr="009C55F1">
        <w:rPr>
          <w:rFonts w:ascii="Kohinoor Devanagari" w:eastAsia="Times New Roman" w:hAnsi="Kohinoor Devanagari" w:cs="Kohinoor Devanagari"/>
          <w:color w:val="0D0D0D"/>
          <w:kern w:val="0"/>
          <w:sz w:val="20"/>
          <w:szCs w:val="20"/>
          <w:lang w:eastAsia="fr-FR"/>
          <w14:ligatures w14:val="none"/>
        </w:rPr>
        <w:t>etc</w:t>
      </w:r>
      <w:proofErr w:type="spellEnd"/>
      <w:r w:rsidRPr="009C55F1">
        <w:rPr>
          <w:rFonts w:ascii="Kohinoor Devanagari" w:eastAsia="Times New Roman" w:hAnsi="Kohinoor Devanagari" w:cs="Kohinoor Devanagari"/>
          <w:color w:val="0D0D0D"/>
          <w:kern w:val="0"/>
          <w:sz w:val="20"/>
          <w:szCs w:val="20"/>
          <w:lang w:eastAsia="fr-FR"/>
          <w14:ligatures w14:val="none"/>
        </w:rPr>
        <w:t>), afin d’améliorer l’efficacité, la fréquence et l’accessibilité de l’information.</w:t>
      </w:r>
    </w:p>
    <w:p w14:paraId="1AEA9163" w14:textId="750783C0" w:rsidR="00347AAB" w:rsidRPr="009C55F1" w:rsidRDefault="00347AAB" w:rsidP="00FC0645">
      <w:pPr>
        <w:shd w:val="clear" w:color="auto" w:fill="FFFFFF"/>
        <w:spacing w:before="180" w:after="180" w:line="240" w:lineRule="auto"/>
        <w:jc w:val="both"/>
        <w:rPr>
          <w:rFonts w:ascii="Kohinoor Devanagari" w:eastAsia="Times New Roman" w:hAnsi="Kohinoor Devanagari" w:cs="Kohinoor Devanagari"/>
          <w:b/>
          <w:bCs/>
          <w:kern w:val="0"/>
          <w:lang w:eastAsia="fr-FR"/>
          <w14:ligatures w14:val="none"/>
        </w:rPr>
      </w:pPr>
      <w:r w:rsidRPr="009C55F1">
        <w:rPr>
          <w:rFonts w:ascii="Kohinoor Devanagari" w:eastAsia="Times New Roman" w:hAnsi="Kohinoor Devanagari" w:cs="Kohinoor Devanagari"/>
          <w:b/>
          <w:bCs/>
          <w:kern w:val="0"/>
          <w:lang w:eastAsia="fr-FR"/>
          <w14:ligatures w14:val="none"/>
        </w:rPr>
        <w:t xml:space="preserve">Méthodologie </w:t>
      </w:r>
    </w:p>
    <w:p w14:paraId="03408A50" w14:textId="77777777" w:rsidR="00180D10" w:rsidRPr="00180D10" w:rsidRDefault="00180D10" w:rsidP="00180D10">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80D10">
        <w:rPr>
          <w:rFonts w:ascii="Kohinoor Devanagari" w:eastAsia="Times New Roman" w:hAnsi="Kohinoor Devanagari" w:cs="Kohinoor Devanagari"/>
          <w:color w:val="0D0D0D"/>
          <w:kern w:val="0"/>
          <w:sz w:val="20"/>
          <w:szCs w:val="20"/>
          <w:lang w:eastAsia="fr-FR"/>
          <w14:ligatures w14:val="none"/>
        </w:rPr>
        <w:t>L’étude s’appuie sur une approche multidimensionnelle :</w:t>
      </w:r>
    </w:p>
    <w:p w14:paraId="5E06DFE0" w14:textId="77777777" w:rsidR="00180D10" w:rsidRPr="00180D10" w:rsidRDefault="00180D10" w:rsidP="00180D10">
      <w:pPr>
        <w:numPr>
          <w:ilvl w:val="0"/>
          <w:numId w:val="164"/>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80D10">
        <w:rPr>
          <w:rFonts w:ascii="Kohinoor Devanagari" w:eastAsia="Times New Roman" w:hAnsi="Kohinoor Devanagari" w:cs="Kohinoor Devanagari"/>
          <w:color w:val="0D0D0D"/>
          <w:kern w:val="0"/>
          <w:sz w:val="20"/>
          <w:szCs w:val="20"/>
          <w:lang w:eastAsia="fr-FR"/>
          <w14:ligatures w14:val="none"/>
        </w:rPr>
        <w:t>Revue documentaire des cadres réglementaires et des plateformes existantes ;</w:t>
      </w:r>
    </w:p>
    <w:p w14:paraId="48C772C9" w14:textId="77777777" w:rsidR="00180D10" w:rsidRPr="00180D10" w:rsidRDefault="00180D10" w:rsidP="00180D10">
      <w:pPr>
        <w:numPr>
          <w:ilvl w:val="0"/>
          <w:numId w:val="164"/>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80D10">
        <w:rPr>
          <w:rFonts w:ascii="Kohinoor Devanagari" w:eastAsia="Times New Roman" w:hAnsi="Kohinoor Devanagari" w:cs="Kohinoor Devanagari"/>
          <w:color w:val="0D0D0D"/>
          <w:kern w:val="0"/>
          <w:sz w:val="20"/>
          <w:szCs w:val="20"/>
          <w:lang w:eastAsia="fr-FR"/>
          <w14:ligatures w14:val="none"/>
        </w:rPr>
        <w:t>Entretiens ciblés avec les parties prenantes institutionnelles ;</w:t>
      </w:r>
    </w:p>
    <w:p w14:paraId="268B74C5" w14:textId="77777777" w:rsidR="00180D10" w:rsidRPr="00180D10" w:rsidRDefault="00180D10" w:rsidP="00180D10">
      <w:pPr>
        <w:numPr>
          <w:ilvl w:val="0"/>
          <w:numId w:val="164"/>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80D10">
        <w:rPr>
          <w:rFonts w:ascii="Kohinoor Devanagari" w:eastAsia="Times New Roman" w:hAnsi="Kohinoor Devanagari" w:cs="Kohinoor Devanagari"/>
          <w:color w:val="0D0D0D"/>
          <w:kern w:val="0"/>
          <w:sz w:val="20"/>
          <w:szCs w:val="20"/>
          <w:lang w:eastAsia="fr-FR"/>
          <w14:ligatures w14:val="none"/>
        </w:rPr>
        <w:t>Analyse des réponses aux questionnaires adressés aux producteurs et utilisateurs de données ;</w:t>
      </w:r>
    </w:p>
    <w:p w14:paraId="4F0B64AF" w14:textId="77777777" w:rsidR="00180D10" w:rsidRPr="009C55F1" w:rsidRDefault="00180D10" w:rsidP="00180D10">
      <w:pPr>
        <w:numPr>
          <w:ilvl w:val="0"/>
          <w:numId w:val="164"/>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80D10">
        <w:rPr>
          <w:rFonts w:ascii="Kohinoor Devanagari" w:eastAsia="Times New Roman" w:hAnsi="Kohinoor Devanagari" w:cs="Kohinoor Devanagari"/>
          <w:color w:val="0D0D0D"/>
          <w:kern w:val="0"/>
          <w:sz w:val="20"/>
          <w:szCs w:val="20"/>
          <w:lang w:eastAsia="fr-FR"/>
          <w14:ligatures w14:val="none"/>
        </w:rPr>
        <w:t>Cartographie des contraintes techniques, institutionnelles et réglementaires.</w:t>
      </w:r>
    </w:p>
    <w:p w14:paraId="4D680E34" w14:textId="77777777" w:rsidR="009C55F1" w:rsidRPr="009C55F1" w:rsidRDefault="009C55F1" w:rsidP="00FC0645">
      <w:pPr>
        <w:shd w:val="clear" w:color="auto" w:fill="FFFFFF"/>
        <w:spacing w:before="180" w:after="180" w:line="240" w:lineRule="auto"/>
        <w:jc w:val="both"/>
        <w:rPr>
          <w:rFonts w:ascii="Kohinoor Devanagari" w:eastAsia="Times New Roman" w:hAnsi="Kohinoor Devanagari" w:cs="Kohinoor Devanagari"/>
          <w:b/>
          <w:bCs/>
          <w:kern w:val="0"/>
          <w:lang w:eastAsia="fr-FR"/>
          <w14:ligatures w14:val="none"/>
        </w:rPr>
      </w:pPr>
      <w:r w:rsidRPr="009C55F1">
        <w:rPr>
          <w:rFonts w:ascii="Kohinoor Devanagari" w:eastAsia="Times New Roman" w:hAnsi="Kohinoor Devanagari" w:cs="Kohinoor Devanagari"/>
          <w:b/>
          <w:bCs/>
          <w:kern w:val="0"/>
          <w:lang w:eastAsia="fr-FR"/>
          <w14:ligatures w14:val="none"/>
        </w:rPr>
        <w:t>Principaux Résultats</w:t>
      </w:r>
    </w:p>
    <w:p w14:paraId="2BF5CCA4" w14:textId="77777777" w:rsidR="009C55F1" w:rsidRPr="009C55F1" w:rsidRDefault="009C55F1" w:rsidP="009C55F1">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9C55F1">
        <w:rPr>
          <w:rFonts w:ascii="Kohinoor Devanagari" w:eastAsia="Times New Roman" w:hAnsi="Kohinoor Devanagari" w:cs="Kohinoor Devanagari"/>
          <w:b/>
          <w:bCs/>
          <w:color w:val="0D0D0D"/>
          <w:kern w:val="0"/>
          <w:sz w:val="20"/>
          <w:szCs w:val="20"/>
          <w:lang w:eastAsia="fr-FR"/>
          <w14:ligatures w14:val="none"/>
        </w:rPr>
        <w:t>Défis techniques et institutionnels</w:t>
      </w:r>
    </w:p>
    <w:p w14:paraId="0FB86AB3" w14:textId="77777777" w:rsidR="009C55F1" w:rsidRPr="009C55F1" w:rsidRDefault="009C55F1" w:rsidP="009C55F1">
      <w:pPr>
        <w:numPr>
          <w:ilvl w:val="0"/>
          <w:numId w:val="165"/>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9C55F1">
        <w:rPr>
          <w:rFonts w:ascii="Kohinoor Devanagari" w:eastAsia="Times New Roman" w:hAnsi="Kohinoor Devanagari" w:cs="Kohinoor Devanagari"/>
          <w:b/>
          <w:bCs/>
          <w:color w:val="0D0D0D"/>
          <w:kern w:val="0"/>
          <w:sz w:val="20"/>
          <w:szCs w:val="20"/>
          <w:lang w:eastAsia="fr-FR"/>
          <w14:ligatures w14:val="none"/>
        </w:rPr>
        <w:t>Intégration incomplète des données extractives</w:t>
      </w:r>
      <w:r w:rsidRPr="009C55F1">
        <w:rPr>
          <w:rFonts w:ascii="Kohinoor Devanagari" w:eastAsia="Times New Roman" w:hAnsi="Kohinoor Devanagari" w:cs="Kohinoor Devanagari"/>
          <w:color w:val="0D0D0D"/>
          <w:kern w:val="0"/>
          <w:sz w:val="20"/>
          <w:szCs w:val="20"/>
          <w:lang w:eastAsia="fr-FR"/>
          <w14:ligatures w14:val="none"/>
        </w:rPr>
        <w:t xml:space="preserve"> : les recettes, licences et contrats sont partiellement intégrés mais rarement interconnectés entre systèmes (DGI, Trésor, MINMIDT, SNH…).</w:t>
      </w:r>
    </w:p>
    <w:p w14:paraId="30E21491" w14:textId="77777777" w:rsidR="009C55F1" w:rsidRPr="009C55F1" w:rsidRDefault="009C55F1" w:rsidP="009C55F1">
      <w:pPr>
        <w:numPr>
          <w:ilvl w:val="0"/>
          <w:numId w:val="165"/>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9C55F1">
        <w:rPr>
          <w:rFonts w:ascii="Kohinoor Devanagari" w:eastAsia="Times New Roman" w:hAnsi="Kohinoor Devanagari" w:cs="Kohinoor Devanagari"/>
          <w:b/>
          <w:bCs/>
          <w:color w:val="0D0D0D"/>
          <w:kern w:val="0"/>
          <w:sz w:val="20"/>
          <w:szCs w:val="20"/>
          <w:lang w:eastAsia="fr-FR"/>
          <w14:ligatures w14:val="none"/>
        </w:rPr>
        <w:t>Interopérabilité absente</w:t>
      </w:r>
      <w:r w:rsidRPr="009C55F1">
        <w:rPr>
          <w:rFonts w:ascii="Kohinoor Devanagari" w:eastAsia="Times New Roman" w:hAnsi="Kohinoor Devanagari" w:cs="Kohinoor Devanagari"/>
          <w:color w:val="0D0D0D"/>
          <w:kern w:val="0"/>
          <w:sz w:val="20"/>
          <w:szCs w:val="20"/>
          <w:lang w:eastAsia="fr-FR"/>
          <w14:ligatures w14:val="none"/>
        </w:rPr>
        <w:t xml:space="preserve"> : les systèmes (</w:t>
      </w:r>
      <w:proofErr w:type="spellStart"/>
      <w:r w:rsidRPr="009C55F1">
        <w:rPr>
          <w:rFonts w:ascii="Kohinoor Devanagari" w:eastAsia="Times New Roman" w:hAnsi="Kohinoor Devanagari" w:cs="Kohinoor Devanagari"/>
          <w:color w:val="0D0D0D"/>
          <w:kern w:val="0"/>
          <w:sz w:val="20"/>
          <w:szCs w:val="20"/>
          <w:lang w:eastAsia="fr-FR"/>
          <w14:ligatures w14:val="none"/>
        </w:rPr>
        <w:t>Flexicadastre</w:t>
      </w:r>
      <w:proofErr w:type="spellEnd"/>
      <w:r w:rsidRPr="009C55F1">
        <w:rPr>
          <w:rFonts w:ascii="Kohinoor Devanagari" w:eastAsia="Times New Roman" w:hAnsi="Kohinoor Devanagari" w:cs="Kohinoor Devanagari"/>
          <w:color w:val="0D0D0D"/>
          <w:kern w:val="0"/>
          <w:sz w:val="20"/>
          <w:szCs w:val="20"/>
          <w:lang w:eastAsia="fr-FR"/>
          <w14:ligatures w14:val="none"/>
        </w:rPr>
        <w:t>, PATRIMONIE, CAMSIS, RCCM) fonctionnent en silos.</w:t>
      </w:r>
    </w:p>
    <w:p w14:paraId="6C3BD9B6" w14:textId="77777777" w:rsidR="009C55F1" w:rsidRPr="009C55F1" w:rsidRDefault="009C55F1" w:rsidP="009C55F1">
      <w:pPr>
        <w:numPr>
          <w:ilvl w:val="0"/>
          <w:numId w:val="165"/>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9C55F1">
        <w:rPr>
          <w:rFonts w:ascii="Kohinoor Devanagari" w:eastAsia="Times New Roman" w:hAnsi="Kohinoor Devanagari" w:cs="Kohinoor Devanagari"/>
          <w:b/>
          <w:bCs/>
          <w:color w:val="0D0D0D"/>
          <w:kern w:val="0"/>
          <w:sz w:val="20"/>
          <w:szCs w:val="20"/>
          <w:lang w:eastAsia="fr-FR"/>
          <w14:ligatures w14:val="none"/>
        </w:rPr>
        <w:t>Digitalisation partielle</w:t>
      </w:r>
      <w:r w:rsidRPr="009C55F1">
        <w:rPr>
          <w:rFonts w:ascii="Kohinoor Devanagari" w:eastAsia="Times New Roman" w:hAnsi="Kohinoor Devanagari" w:cs="Kohinoor Devanagari"/>
          <w:color w:val="0D0D0D"/>
          <w:kern w:val="0"/>
          <w:sz w:val="20"/>
          <w:szCs w:val="20"/>
          <w:lang w:eastAsia="fr-FR"/>
          <w14:ligatures w14:val="none"/>
        </w:rPr>
        <w:t xml:space="preserve"> : certains registres restent sur support papier ; le cadastre minier est incomplet et les actes d’octroi ou contrats ne sont pas accessibles.</w:t>
      </w:r>
    </w:p>
    <w:p w14:paraId="4F1C0F8E" w14:textId="77777777" w:rsidR="009C55F1" w:rsidRPr="009C55F1" w:rsidRDefault="009C55F1" w:rsidP="009C55F1">
      <w:pPr>
        <w:numPr>
          <w:ilvl w:val="0"/>
          <w:numId w:val="165"/>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9C55F1">
        <w:rPr>
          <w:rFonts w:ascii="Kohinoor Devanagari" w:eastAsia="Times New Roman" w:hAnsi="Kohinoor Devanagari" w:cs="Kohinoor Devanagari"/>
          <w:b/>
          <w:bCs/>
          <w:color w:val="0D0D0D"/>
          <w:kern w:val="0"/>
          <w:sz w:val="20"/>
          <w:szCs w:val="20"/>
          <w:lang w:eastAsia="fr-FR"/>
          <w14:ligatures w14:val="none"/>
        </w:rPr>
        <w:t>Faible standardisation</w:t>
      </w:r>
      <w:r w:rsidRPr="009C55F1">
        <w:rPr>
          <w:rFonts w:ascii="Kohinoor Devanagari" w:eastAsia="Times New Roman" w:hAnsi="Kohinoor Devanagari" w:cs="Kohinoor Devanagari"/>
          <w:color w:val="0D0D0D"/>
          <w:kern w:val="0"/>
          <w:sz w:val="20"/>
          <w:szCs w:val="20"/>
          <w:lang w:eastAsia="fr-FR"/>
          <w14:ligatures w14:val="none"/>
        </w:rPr>
        <w:t xml:space="preserve"> : absence de formats harmonisés pour la publication des données, manque de champs pour les identifiants fiscaux ou les bénéficiaires effectifs.</w:t>
      </w:r>
    </w:p>
    <w:p w14:paraId="028D9EEB" w14:textId="77777777" w:rsidR="009C55F1" w:rsidRPr="009C55F1" w:rsidRDefault="009C55F1" w:rsidP="009C55F1">
      <w:pPr>
        <w:numPr>
          <w:ilvl w:val="0"/>
          <w:numId w:val="165"/>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9C55F1">
        <w:rPr>
          <w:rFonts w:ascii="Kohinoor Devanagari" w:eastAsia="Times New Roman" w:hAnsi="Kohinoor Devanagari" w:cs="Kohinoor Devanagari"/>
          <w:b/>
          <w:bCs/>
          <w:color w:val="0D0D0D"/>
          <w:kern w:val="0"/>
          <w:sz w:val="20"/>
          <w:szCs w:val="20"/>
          <w:lang w:eastAsia="fr-FR"/>
          <w14:ligatures w14:val="none"/>
        </w:rPr>
        <w:t>Cadre juridique insuffisant</w:t>
      </w:r>
      <w:r w:rsidRPr="009C55F1">
        <w:rPr>
          <w:rFonts w:ascii="Kohinoor Devanagari" w:eastAsia="Times New Roman" w:hAnsi="Kohinoor Devanagari" w:cs="Kohinoor Devanagari"/>
          <w:color w:val="0D0D0D"/>
          <w:kern w:val="0"/>
          <w:sz w:val="20"/>
          <w:szCs w:val="20"/>
          <w:lang w:eastAsia="fr-FR"/>
          <w14:ligatures w14:val="none"/>
        </w:rPr>
        <w:t xml:space="preserve"> : il n’existe pas de directive ou de texte fixant les règles de divulgation systématique.</w:t>
      </w:r>
    </w:p>
    <w:p w14:paraId="175951AD" w14:textId="77777777" w:rsidR="00D11393" w:rsidRDefault="00D11393">
      <w:pPr>
        <w:rPr>
          <w:rFonts w:ascii="Kohinoor Devanagari" w:eastAsia="Times New Roman" w:hAnsi="Kohinoor Devanagari" w:cs="Kohinoor Devanagari"/>
          <w:b/>
          <w:bCs/>
          <w:color w:val="0D0D0D"/>
          <w:kern w:val="0"/>
          <w:sz w:val="20"/>
          <w:szCs w:val="20"/>
          <w:lang w:eastAsia="fr-FR"/>
          <w14:ligatures w14:val="none"/>
        </w:rPr>
      </w:pPr>
      <w:r>
        <w:rPr>
          <w:rFonts w:ascii="Kohinoor Devanagari" w:eastAsia="Times New Roman" w:hAnsi="Kohinoor Devanagari" w:cs="Kohinoor Devanagari"/>
          <w:b/>
          <w:bCs/>
          <w:color w:val="0D0D0D"/>
          <w:kern w:val="0"/>
          <w:sz w:val="20"/>
          <w:szCs w:val="20"/>
          <w:lang w:eastAsia="fr-FR"/>
          <w14:ligatures w14:val="none"/>
        </w:rPr>
        <w:br w:type="page"/>
      </w:r>
    </w:p>
    <w:p w14:paraId="608566AF" w14:textId="284C6F5F" w:rsidR="00FC0645" w:rsidRPr="00FC0645" w:rsidRDefault="00FC0645" w:rsidP="00FC0645">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FC0645">
        <w:rPr>
          <w:rFonts w:ascii="Kohinoor Devanagari" w:eastAsia="Times New Roman" w:hAnsi="Kohinoor Devanagari" w:cs="Kohinoor Devanagari"/>
          <w:b/>
          <w:bCs/>
          <w:color w:val="0D0D0D"/>
          <w:kern w:val="0"/>
          <w:sz w:val="20"/>
          <w:szCs w:val="20"/>
          <w:lang w:eastAsia="fr-FR"/>
          <w14:ligatures w14:val="none"/>
        </w:rPr>
        <w:lastRenderedPageBreak/>
        <w:t>Opportunités existantes</w:t>
      </w:r>
    </w:p>
    <w:p w14:paraId="78C13CE9" w14:textId="77777777" w:rsidR="00FC0645" w:rsidRPr="00FC0645" w:rsidRDefault="00FC0645" w:rsidP="00FC0645">
      <w:pPr>
        <w:numPr>
          <w:ilvl w:val="0"/>
          <w:numId w:val="166"/>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FC0645">
        <w:rPr>
          <w:rFonts w:ascii="Kohinoor Devanagari" w:eastAsia="Times New Roman" w:hAnsi="Kohinoor Devanagari" w:cs="Kohinoor Devanagari"/>
          <w:b/>
          <w:bCs/>
          <w:color w:val="0D0D0D"/>
          <w:kern w:val="0"/>
          <w:sz w:val="20"/>
          <w:szCs w:val="20"/>
          <w:lang w:eastAsia="fr-FR"/>
          <w14:ligatures w14:val="none"/>
        </w:rPr>
        <w:t>Plateformes numériques disponibles</w:t>
      </w:r>
      <w:r w:rsidRPr="00FC0645">
        <w:rPr>
          <w:rFonts w:ascii="Kohinoor Devanagari" w:eastAsia="Times New Roman" w:hAnsi="Kohinoor Devanagari" w:cs="Kohinoor Devanagari"/>
          <w:color w:val="0D0D0D"/>
          <w:kern w:val="0"/>
          <w:sz w:val="20"/>
          <w:szCs w:val="20"/>
          <w:lang w:eastAsia="fr-FR"/>
          <w14:ligatures w14:val="none"/>
        </w:rPr>
        <w:t xml:space="preserve"> : systèmes PATRIMONIE, CAMSIS, </w:t>
      </w:r>
      <w:proofErr w:type="spellStart"/>
      <w:r w:rsidRPr="00FC0645">
        <w:rPr>
          <w:rFonts w:ascii="Kohinoor Devanagari" w:eastAsia="Times New Roman" w:hAnsi="Kohinoor Devanagari" w:cs="Kohinoor Devanagari"/>
          <w:color w:val="0D0D0D"/>
          <w:kern w:val="0"/>
          <w:sz w:val="20"/>
          <w:szCs w:val="20"/>
          <w:lang w:eastAsia="fr-FR"/>
          <w14:ligatures w14:val="none"/>
        </w:rPr>
        <w:t>Flexicadastre</w:t>
      </w:r>
      <w:proofErr w:type="spellEnd"/>
      <w:r w:rsidRPr="00FC0645">
        <w:rPr>
          <w:rFonts w:ascii="Kohinoor Devanagari" w:eastAsia="Times New Roman" w:hAnsi="Kohinoor Devanagari" w:cs="Kohinoor Devanagari"/>
          <w:color w:val="0D0D0D"/>
          <w:kern w:val="0"/>
          <w:sz w:val="20"/>
          <w:szCs w:val="20"/>
          <w:lang w:eastAsia="fr-FR"/>
          <w14:ligatures w14:val="none"/>
        </w:rPr>
        <w:t>, Portail open data de l’INS, site ITIE, bases de données fiscales.</w:t>
      </w:r>
    </w:p>
    <w:p w14:paraId="284AA1B8" w14:textId="77777777" w:rsidR="00FC0645" w:rsidRPr="00FC0645" w:rsidRDefault="00FC0645" w:rsidP="00FC0645">
      <w:pPr>
        <w:numPr>
          <w:ilvl w:val="0"/>
          <w:numId w:val="166"/>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FC0645">
        <w:rPr>
          <w:rFonts w:ascii="Kohinoor Devanagari" w:eastAsia="Times New Roman" w:hAnsi="Kohinoor Devanagari" w:cs="Kohinoor Devanagari"/>
          <w:b/>
          <w:bCs/>
          <w:color w:val="0D0D0D"/>
          <w:kern w:val="0"/>
          <w:sz w:val="20"/>
          <w:szCs w:val="20"/>
          <w:lang w:eastAsia="fr-FR"/>
          <w14:ligatures w14:val="none"/>
        </w:rPr>
        <w:t>Projets en cours ou prévus</w:t>
      </w:r>
      <w:r w:rsidRPr="00FC0645">
        <w:rPr>
          <w:rFonts w:ascii="Kohinoor Devanagari" w:eastAsia="Times New Roman" w:hAnsi="Kohinoor Devanagari" w:cs="Kohinoor Devanagari"/>
          <w:color w:val="0D0D0D"/>
          <w:kern w:val="0"/>
          <w:sz w:val="20"/>
          <w:szCs w:val="20"/>
          <w:lang w:eastAsia="fr-FR"/>
          <w14:ligatures w14:val="none"/>
        </w:rPr>
        <w:t xml:space="preserve"> : développement d’un extracteur automatique dans PATRIMONIE, finalisation de la base environnementale INS, modernisation du cadastre pétrolier.</w:t>
      </w:r>
    </w:p>
    <w:p w14:paraId="522AD90C" w14:textId="77777777" w:rsidR="00FC0645" w:rsidRPr="00FC0645" w:rsidRDefault="00FC0645" w:rsidP="00FC0645">
      <w:pPr>
        <w:numPr>
          <w:ilvl w:val="0"/>
          <w:numId w:val="166"/>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FC0645">
        <w:rPr>
          <w:rFonts w:ascii="Kohinoor Devanagari" w:eastAsia="Times New Roman" w:hAnsi="Kohinoor Devanagari" w:cs="Kohinoor Devanagari"/>
          <w:b/>
          <w:bCs/>
          <w:color w:val="0D0D0D"/>
          <w:kern w:val="0"/>
          <w:sz w:val="20"/>
          <w:szCs w:val="20"/>
          <w:lang w:eastAsia="fr-FR"/>
          <w14:ligatures w14:val="none"/>
        </w:rPr>
        <w:t>Volonté institutionnelle exprimée</w:t>
      </w:r>
      <w:r w:rsidRPr="00FC0645">
        <w:rPr>
          <w:rFonts w:ascii="Kohinoor Devanagari" w:eastAsia="Times New Roman" w:hAnsi="Kohinoor Devanagari" w:cs="Kohinoor Devanagari"/>
          <w:color w:val="0D0D0D"/>
          <w:kern w:val="0"/>
          <w:sz w:val="20"/>
          <w:szCs w:val="20"/>
          <w:lang w:eastAsia="fr-FR"/>
          <w14:ligatures w14:val="none"/>
        </w:rPr>
        <w:t xml:space="preserve"> : les parties prenantes ont exprimé leur intérêt pour une centralisation des données et une gouvernance technique renforcée.</w:t>
      </w:r>
    </w:p>
    <w:p w14:paraId="30D0DAFD" w14:textId="77777777" w:rsidR="00CC1E73" w:rsidRPr="00CC1E73" w:rsidRDefault="00CC1E73" w:rsidP="00CC1E73">
      <w:pPr>
        <w:shd w:val="clear" w:color="auto" w:fill="FFFFFF"/>
        <w:spacing w:before="180" w:after="180" w:line="240" w:lineRule="auto"/>
        <w:jc w:val="both"/>
        <w:rPr>
          <w:rFonts w:ascii="Kohinoor Devanagari" w:eastAsia="Times New Roman" w:hAnsi="Kohinoor Devanagari" w:cs="Kohinoor Devanagari"/>
          <w:b/>
          <w:bCs/>
          <w:kern w:val="0"/>
          <w:lang w:eastAsia="fr-FR"/>
          <w14:ligatures w14:val="none"/>
        </w:rPr>
      </w:pPr>
      <w:r w:rsidRPr="00CC1E73">
        <w:rPr>
          <w:rFonts w:ascii="Kohinoor Devanagari" w:eastAsia="Times New Roman" w:hAnsi="Kohinoor Devanagari" w:cs="Kohinoor Devanagari"/>
          <w:b/>
          <w:bCs/>
          <w:kern w:val="0"/>
          <w:lang w:eastAsia="fr-FR"/>
          <w14:ligatures w14:val="none"/>
        </w:rPr>
        <w:t>Approche pour la divulgation systématique</w:t>
      </w:r>
    </w:p>
    <w:p w14:paraId="576DEB42"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CC1E73">
        <w:rPr>
          <w:rFonts w:ascii="Kohinoor Devanagari" w:eastAsia="Times New Roman" w:hAnsi="Kohinoor Devanagari" w:cs="Kohinoor Devanagari"/>
          <w:b/>
          <w:bCs/>
          <w:color w:val="0D0D0D"/>
          <w:kern w:val="0"/>
          <w:sz w:val="20"/>
          <w:szCs w:val="20"/>
          <w:lang w:eastAsia="fr-FR"/>
          <w14:ligatures w14:val="none"/>
        </w:rPr>
        <w:t>Données sur les revenus extractifs</w:t>
      </w:r>
    </w:p>
    <w:p w14:paraId="2EE72A87" w14:textId="260FFB22"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CC1E73">
        <w:rPr>
          <w:rFonts w:ascii="Kohinoor Devanagari" w:eastAsia="Times New Roman" w:hAnsi="Kohinoor Devanagari" w:cs="Kohinoor Devanagari"/>
          <w:color w:val="0D0D0D"/>
          <w:kern w:val="0"/>
          <w:sz w:val="20"/>
          <w:szCs w:val="20"/>
          <w:lang w:eastAsia="fr-FR"/>
          <w14:ligatures w14:val="none"/>
        </w:rPr>
        <w:t xml:space="preserve">Les données budgétaires sont partiellement publiées (Lois de finances, rapports d’exécution), mais rarement désagrégées par projet ou entreprise. </w:t>
      </w:r>
    </w:p>
    <w:p w14:paraId="755757EE"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CC1E73">
        <w:rPr>
          <w:rFonts w:ascii="Kohinoor Devanagari" w:eastAsia="Times New Roman" w:hAnsi="Kohinoor Devanagari" w:cs="Kohinoor Devanagari"/>
          <w:b/>
          <w:bCs/>
          <w:color w:val="0D0D0D"/>
          <w:kern w:val="0"/>
          <w:sz w:val="20"/>
          <w:szCs w:val="20"/>
          <w:lang w:eastAsia="fr-FR"/>
          <w14:ligatures w14:val="none"/>
        </w:rPr>
        <w:t>Données sur les licences, contrats, production et exportation</w:t>
      </w:r>
    </w:p>
    <w:p w14:paraId="32D52BF7"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CC1E73">
        <w:rPr>
          <w:rFonts w:ascii="Kohinoor Devanagari" w:eastAsia="Times New Roman" w:hAnsi="Kohinoor Devanagari" w:cs="Kohinoor Devanagari"/>
          <w:color w:val="0D0D0D"/>
          <w:kern w:val="0"/>
          <w:sz w:val="20"/>
          <w:szCs w:val="20"/>
          <w:lang w:eastAsia="fr-FR"/>
          <w14:ligatures w14:val="none"/>
        </w:rPr>
        <w:t>La SNH, la DGI, le MINMIDT et l’ITIE publient certaines données, mais les plateformes ne sont ni complètes, ni interconnectées. L’intégration des actes d’octroi, contrats miniers et pétroliers et des volumes de production reste limitée.</w:t>
      </w:r>
    </w:p>
    <w:p w14:paraId="370468CA"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CC1E73">
        <w:rPr>
          <w:rFonts w:ascii="Kohinoor Devanagari" w:eastAsia="Times New Roman" w:hAnsi="Kohinoor Devanagari" w:cs="Kohinoor Devanagari"/>
          <w:b/>
          <w:bCs/>
          <w:color w:val="0D0D0D"/>
          <w:kern w:val="0"/>
          <w:sz w:val="20"/>
          <w:szCs w:val="20"/>
          <w:lang w:eastAsia="fr-FR"/>
          <w14:ligatures w14:val="none"/>
        </w:rPr>
        <w:t>Données environnementales et sociales</w:t>
      </w:r>
    </w:p>
    <w:p w14:paraId="3F34E0DA"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CC1E73">
        <w:rPr>
          <w:rFonts w:ascii="Kohinoor Devanagari" w:eastAsia="Times New Roman" w:hAnsi="Kohinoor Devanagari" w:cs="Kohinoor Devanagari"/>
          <w:color w:val="0D0D0D"/>
          <w:kern w:val="0"/>
          <w:sz w:val="20"/>
          <w:szCs w:val="20"/>
          <w:lang w:eastAsia="fr-FR"/>
          <w14:ligatures w14:val="none"/>
        </w:rPr>
        <w:t>Les bases de données environnementales restent en développement. Les EIES sont archivées par le MINEPDED mais non publiées. Aucune base centralisée n’existe sur les dépenses sociales et environnementales.</w:t>
      </w:r>
    </w:p>
    <w:p w14:paraId="6AA2F25F"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CC1E73">
        <w:rPr>
          <w:rFonts w:ascii="Kohinoor Devanagari" w:eastAsia="Times New Roman" w:hAnsi="Kohinoor Devanagari" w:cs="Kohinoor Devanagari"/>
          <w:b/>
          <w:bCs/>
          <w:color w:val="0D0D0D"/>
          <w:kern w:val="0"/>
          <w:sz w:val="20"/>
          <w:szCs w:val="20"/>
          <w:lang w:eastAsia="fr-FR"/>
          <w14:ligatures w14:val="none"/>
        </w:rPr>
        <w:t>Qualité et assurance des données</w:t>
      </w:r>
    </w:p>
    <w:p w14:paraId="083904ED" w14:textId="77777777" w:rsidR="00CC1E73" w:rsidRPr="00CC1E73" w:rsidRDefault="00CC1E73" w:rsidP="00CC1E73">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CC1E73">
        <w:rPr>
          <w:rFonts w:ascii="Kohinoor Devanagari" w:eastAsia="Times New Roman" w:hAnsi="Kohinoor Devanagari" w:cs="Kohinoor Devanagari"/>
          <w:color w:val="0D0D0D"/>
          <w:kern w:val="0"/>
          <w:sz w:val="20"/>
          <w:szCs w:val="20"/>
          <w:lang w:eastAsia="fr-FR"/>
          <w14:ligatures w14:val="none"/>
        </w:rPr>
        <w:t>La qualité des données varie selon les entités. L’étude recommande :</w:t>
      </w:r>
    </w:p>
    <w:p w14:paraId="0E7EA67B" w14:textId="77777777" w:rsidR="00CC1E73" w:rsidRPr="00CC1E73" w:rsidRDefault="00CC1E73" w:rsidP="00CC1E73">
      <w:pPr>
        <w:numPr>
          <w:ilvl w:val="0"/>
          <w:numId w:val="167"/>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CC1E73">
        <w:rPr>
          <w:rFonts w:ascii="Kohinoor Devanagari" w:eastAsia="Times New Roman" w:hAnsi="Kohinoor Devanagari" w:cs="Kohinoor Devanagari"/>
          <w:color w:val="0D0D0D"/>
          <w:kern w:val="0"/>
          <w:sz w:val="20"/>
          <w:szCs w:val="20"/>
          <w:lang w:eastAsia="fr-FR"/>
          <w14:ligatures w14:val="none"/>
        </w:rPr>
        <w:t>La révision du mandat de l’Administrateur Indépendant pour inclure un rôle d’assurance qualité systématique ;</w:t>
      </w:r>
    </w:p>
    <w:p w14:paraId="2BC580DF" w14:textId="15E6F0BB" w:rsidR="00CC1E73" w:rsidRPr="00CC1E73" w:rsidRDefault="00CC1E73" w:rsidP="00CC1E73">
      <w:pPr>
        <w:numPr>
          <w:ilvl w:val="0"/>
          <w:numId w:val="167"/>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CC1E73">
        <w:rPr>
          <w:rFonts w:ascii="Kohinoor Devanagari" w:eastAsia="Times New Roman" w:hAnsi="Kohinoor Devanagari" w:cs="Kohinoor Devanagari"/>
          <w:color w:val="0D0D0D"/>
          <w:kern w:val="0"/>
          <w:sz w:val="20"/>
          <w:szCs w:val="20"/>
          <w:lang w:eastAsia="fr-FR"/>
          <w14:ligatures w14:val="none"/>
        </w:rPr>
        <w:t>L’élaboration d’un guide</w:t>
      </w:r>
      <w:r w:rsidRPr="00CC1E73">
        <w:rPr>
          <w:rFonts w:ascii="Kohinoor Devanagari" w:eastAsia="Times New Roman" w:hAnsi="Kohinoor Devanagari" w:cs="Kohinoor Devanagari"/>
          <w:b/>
          <w:bCs/>
          <w:color w:val="0D0D0D"/>
          <w:kern w:val="0"/>
          <w:sz w:val="20"/>
          <w:szCs w:val="20"/>
          <w:lang w:eastAsia="fr-FR"/>
          <w14:ligatures w14:val="none"/>
        </w:rPr>
        <w:t xml:space="preserve"> </w:t>
      </w:r>
      <w:r w:rsidRPr="00CC1E73">
        <w:rPr>
          <w:rFonts w:ascii="Kohinoor Devanagari" w:eastAsia="Times New Roman" w:hAnsi="Kohinoor Devanagari" w:cs="Kohinoor Devanagari"/>
          <w:color w:val="0D0D0D"/>
          <w:kern w:val="0"/>
          <w:sz w:val="20"/>
          <w:szCs w:val="20"/>
          <w:lang w:eastAsia="fr-FR"/>
          <w14:ligatures w14:val="none"/>
        </w:rPr>
        <w:t>commun pour le contrôle interne et la vérification des données.</w:t>
      </w:r>
    </w:p>
    <w:p w14:paraId="5445B908" w14:textId="77777777" w:rsidR="001A37A9" w:rsidRPr="001A37A9" w:rsidRDefault="001A37A9" w:rsidP="001A37A9">
      <w:pPr>
        <w:shd w:val="clear" w:color="auto" w:fill="FFFFFF"/>
        <w:spacing w:before="120" w:after="120" w:line="240" w:lineRule="auto"/>
        <w:jc w:val="both"/>
        <w:rPr>
          <w:rFonts w:ascii="Kohinoor Devanagari" w:eastAsia="Times New Roman" w:hAnsi="Kohinoor Devanagari" w:cs="Kohinoor Devanagari"/>
          <w:b/>
          <w:bCs/>
          <w:color w:val="0D0D0D"/>
          <w:kern w:val="0"/>
          <w:sz w:val="20"/>
          <w:szCs w:val="20"/>
          <w:lang w:eastAsia="fr-FR"/>
          <w14:ligatures w14:val="none"/>
        </w:rPr>
      </w:pPr>
      <w:r w:rsidRPr="001A37A9">
        <w:rPr>
          <w:rFonts w:ascii="Kohinoor Devanagari" w:eastAsia="Times New Roman" w:hAnsi="Kohinoor Devanagari" w:cs="Kohinoor Devanagari"/>
          <w:b/>
          <w:bCs/>
          <w:color w:val="0D0D0D"/>
          <w:kern w:val="0"/>
          <w:sz w:val="20"/>
          <w:szCs w:val="20"/>
          <w:lang w:eastAsia="fr-FR"/>
          <w14:ligatures w14:val="none"/>
        </w:rPr>
        <w:t>Gouvernance et coordination</w:t>
      </w:r>
    </w:p>
    <w:p w14:paraId="11D83F80" w14:textId="77777777" w:rsidR="001A37A9" w:rsidRPr="001A37A9" w:rsidRDefault="001A37A9" w:rsidP="001A37A9">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A37A9">
        <w:rPr>
          <w:rFonts w:ascii="Kohinoor Devanagari" w:eastAsia="Times New Roman" w:hAnsi="Kohinoor Devanagari" w:cs="Kohinoor Devanagari"/>
          <w:color w:val="0D0D0D"/>
          <w:kern w:val="0"/>
          <w:sz w:val="20"/>
          <w:szCs w:val="20"/>
          <w:lang w:eastAsia="fr-FR"/>
          <w14:ligatures w14:val="none"/>
        </w:rPr>
        <w:t>L’étude met en lumière la nécessité de :</w:t>
      </w:r>
    </w:p>
    <w:p w14:paraId="3008D1F1" w14:textId="77777777" w:rsidR="001A37A9" w:rsidRPr="001A37A9" w:rsidRDefault="001A37A9" w:rsidP="001A37A9">
      <w:pPr>
        <w:numPr>
          <w:ilvl w:val="0"/>
          <w:numId w:val="168"/>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A37A9">
        <w:rPr>
          <w:rFonts w:ascii="Kohinoor Devanagari" w:eastAsia="Times New Roman" w:hAnsi="Kohinoor Devanagari" w:cs="Kohinoor Devanagari"/>
          <w:color w:val="0D0D0D"/>
          <w:kern w:val="0"/>
          <w:sz w:val="20"/>
          <w:szCs w:val="20"/>
          <w:lang w:eastAsia="fr-FR"/>
          <w14:ligatures w14:val="none"/>
        </w:rPr>
        <w:t>Redéfinir le rôle du Comité ITIE pour qu’il pilote activement la transformation numérique ;</w:t>
      </w:r>
    </w:p>
    <w:p w14:paraId="5D6AC61E" w14:textId="77777777" w:rsidR="001A37A9" w:rsidRPr="001A37A9" w:rsidRDefault="001A37A9" w:rsidP="001A37A9">
      <w:pPr>
        <w:numPr>
          <w:ilvl w:val="0"/>
          <w:numId w:val="168"/>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A37A9">
        <w:rPr>
          <w:rFonts w:ascii="Kohinoor Devanagari" w:eastAsia="Times New Roman" w:hAnsi="Kohinoor Devanagari" w:cs="Kohinoor Devanagari"/>
          <w:color w:val="0D0D0D"/>
          <w:kern w:val="0"/>
          <w:sz w:val="20"/>
          <w:szCs w:val="20"/>
          <w:lang w:eastAsia="fr-FR"/>
          <w14:ligatures w14:val="none"/>
        </w:rPr>
        <w:t>Mettre en place un comité technique interinstitutionnel et un groupe stratégique de pilotage ;</w:t>
      </w:r>
    </w:p>
    <w:p w14:paraId="643F563F" w14:textId="20FEE133" w:rsidR="001A37A9" w:rsidRPr="001A37A9" w:rsidRDefault="001A37A9" w:rsidP="001A37A9">
      <w:pPr>
        <w:numPr>
          <w:ilvl w:val="0"/>
          <w:numId w:val="168"/>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A37A9">
        <w:rPr>
          <w:rFonts w:ascii="Kohinoor Devanagari" w:eastAsia="Times New Roman" w:hAnsi="Kohinoor Devanagari" w:cs="Kohinoor Devanagari"/>
          <w:color w:val="0D0D0D"/>
          <w:kern w:val="0"/>
          <w:sz w:val="20"/>
          <w:szCs w:val="20"/>
          <w:lang w:eastAsia="fr-FR"/>
          <w14:ligatures w14:val="none"/>
        </w:rPr>
        <w:t>Recruter un administrateur de base de données rattaché au SP-ITIE pour gérer l’entrepôt de données ITIE ;</w:t>
      </w:r>
    </w:p>
    <w:p w14:paraId="6CDC978F" w14:textId="77777777" w:rsidR="001A37A9" w:rsidRPr="001A37A9" w:rsidRDefault="001A37A9" w:rsidP="001A37A9">
      <w:pPr>
        <w:numPr>
          <w:ilvl w:val="0"/>
          <w:numId w:val="168"/>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1A37A9">
        <w:rPr>
          <w:rFonts w:ascii="Kohinoor Devanagari" w:eastAsia="Times New Roman" w:hAnsi="Kohinoor Devanagari" w:cs="Kohinoor Devanagari"/>
          <w:color w:val="0D0D0D"/>
          <w:kern w:val="0"/>
          <w:sz w:val="20"/>
          <w:szCs w:val="20"/>
          <w:lang w:eastAsia="fr-FR"/>
          <w14:ligatures w14:val="none"/>
        </w:rPr>
        <w:lastRenderedPageBreak/>
        <w:t>Préserver le rôle des parties prenantes, notamment de la société civile, pour garantir la redevabilité et éviter un pilotage exclusivement technique.</w:t>
      </w:r>
    </w:p>
    <w:p w14:paraId="6D46D143" w14:textId="77777777" w:rsidR="00A24643" w:rsidRPr="00A24643" w:rsidRDefault="00A24643" w:rsidP="00D11393">
      <w:pPr>
        <w:shd w:val="clear" w:color="auto" w:fill="FFFFFF"/>
        <w:spacing w:before="180" w:after="180" w:line="240" w:lineRule="auto"/>
        <w:jc w:val="both"/>
        <w:rPr>
          <w:rFonts w:ascii="Kohinoor Devanagari" w:eastAsia="Times New Roman" w:hAnsi="Kohinoor Devanagari" w:cs="Kohinoor Devanagari"/>
          <w:b/>
          <w:bCs/>
          <w:kern w:val="0"/>
          <w:lang w:eastAsia="fr-FR"/>
          <w14:ligatures w14:val="none"/>
        </w:rPr>
      </w:pPr>
      <w:r w:rsidRPr="00A24643">
        <w:rPr>
          <w:rFonts w:ascii="Kohinoor Devanagari" w:eastAsia="Times New Roman" w:hAnsi="Kohinoor Devanagari" w:cs="Kohinoor Devanagari"/>
          <w:b/>
          <w:bCs/>
          <w:kern w:val="0"/>
          <w:lang w:eastAsia="fr-FR"/>
          <w14:ligatures w14:val="none"/>
        </w:rPr>
        <w:t>Principales recommandations</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5904"/>
        <w:gridCol w:w="3158"/>
      </w:tblGrid>
      <w:tr w:rsidR="00A24643" w:rsidRPr="00A24643" w14:paraId="0B547DA4" w14:textId="77777777" w:rsidTr="00D11393">
        <w:tc>
          <w:tcPr>
            <w:tcW w:w="0" w:type="auto"/>
            <w:shd w:val="clear" w:color="auto" w:fill="47626F"/>
            <w:hideMark/>
          </w:tcPr>
          <w:p w14:paraId="50D6D9A5" w14:textId="77777777" w:rsidR="00A24643" w:rsidRPr="00A24643" w:rsidRDefault="00A24643" w:rsidP="00D11393">
            <w:pPr>
              <w:spacing w:before="40" w:after="40"/>
              <w:rPr>
                <w:rFonts w:ascii="Kohinoor Devanagari" w:hAnsi="Kohinoor Devanagari" w:cs="Kohinoor Devanagari"/>
                <w:b/>
                <w:bCs/>
                <w:color w:val="FFFFFF" w:themeColor="background1"/>
                <w:sz w:val="20"/>
                <w:szCs w:val="20"/>
              </w:rPr>
            </w:pPr>
            <w:r w:rsidRPr="00A24643">
              <w:rPr>
                <w:rFonts w:ascii="Kohinoor Devanagari" w:hAnsi="Kohinoor Devanagari" w:cs="Kohinoor Devanagari"/>
                <w:b/>
                <w:bCs/>
                <w:color w:val="FFFFFF" w:themeColor="background1"/>
                <w:sz w:val="20"/>
                <w:szCs w:val="20"/>
              </w:rPr>
              <w:t>Mesure prioritaire</w:t>
            </w:r>
          </w:p>
        </w:tc>
        <w:tc>
          <w:tcPr>
            <w:tcW w:w="0" w:type="auto"/>
            <w:shd w:val="clear" w:color="auto" w:fill="47626F"/>
            <w:hideMark/>
          </w:tcPr>
          <w:p w14:paraId="5D6874C4" w14:textId="77777777" w:rsidR="00A24643" w:rsidRPr="00A24643" w:rsidRDefault="00A24643" w:rsidP="00D11393">
            <w:pPr>
              <w:spacing w:before="40" w:after="40"/>
              <w:rPr>
                <w:rFonts w:ascii="Kohinoor Devanagari" w:hAnsi="Kohinoor Devanagari" w:cs="Kohinoor Devanagari"/>
                <w:b/>
                <w:bCs/>
                <w:color w:val="FFFFFF" w:themeColor="background1"/>
                <w:sz w:val="20"/>
                <w:szCs w:val="20"/>
              </w:rPr>
            </w:pPr>
            <w:r w:rsidRPr="00A24643">
              <w:rPr>
                <w:rFonts w:ascii="Kohinoor Devanagari" w:hAnsi="Kohinoor Devanagari" w:cs="Kohinoor Devanagari"/>
                <w:b/>
                <w:bCs/>
                <w:color w:val="FFFFFF" w:themeColor="background1"/>
                <w:sz w:val="20"/>
                <w:szCs w:val="20"/>
              </w:rPr>
              <w:t>Problème ciblé</w:t>
            </w:r>
          </w:p>
        </w:tc>
      </w:tr>
      <w:tr w:rsidR="00A24643" w:rsidRPr="00A24643" w14:paraId="4640ED05" w14:textId="77777777" w:rsidTr="00A24643">
        <w:tc>
          <w:tcPr>
            <w:tcW w:w="0" w:type="auto"/>
            <w:hideMark/>
          </w:tcPr>
          <w:p w14:paraId="4364A869"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Élaboration d’une politique nationale sur la divulgation systématique</w:t>
            </w:r>
          </w:p>
        </w:tc>
        <w:tc>
          <w:tcPr>
            <w:tcW w:w="0" w:type="auto"/>
            <w:hideMark/>
          </w:tcPr>
          <w:p w14:paraId="079DA7F4"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Absence de cadre juridique</w:t>
            </w:r>
          </w:p>
        </w:tc>
      </w:tr>
      <w:tr w:rsidR="00A24643" w:rsidRPr="00A24643" w14:paraId="11A29183" w14:textId="77777777" w:rsidTr="00A24643">
        <w:tc>
          <w:tcPr>
            <w:tcW w:w="0" w:type="auto"/>
            <w:hideMark/>
          </w:tcPr>
          <w:p w14:paraId="43D1A731"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Mise en place d’un entrepôt de données ITIE interconnecté</w:t>
            </w:r>
          </w:p>
        </w:tc>
        <w:tc>
          <w:tcPr>
            <w:tcW w:w="0" w:type="auto"/>
            <w:hideMark/>
          </w:tcPr>
          <w:p w14:paraId="5D07DC7D"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Données fragmentées</w:t>
            </w:r>
          </w:p>
        </w:tc>
      </w:tr>
      <w:tr w:rsidR="00A24643" w:rsidRPr="00A24643" w14:paraId="76C3BDD9" w14:textId="77777777" w:rsidTr="00A24643">
        <w:tc>
          <w:tcPr>
            <w:tcW w:w="0" w:type="auto"/>
            <w:hideMark/>
          </w:tcPr>
          <w:p w14:paraId="24B509DC"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Création d’un module de télédéclaration pour les entités non interconnectées</w:t>
            </w:r>
          </w:p>
        </w:tc>
        <w:tc>
          <w:tcPr>
            <w:tcW w:w="0" w:type="auto"/>
            <w:hideMark/>
          </w:tcPr>
          <w:p w14:paraId="50480A66"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Données non collectées en continu</w:t>
            </w:r>
          </w:p>
        </w:tc>
      </w:tr>
      <w:tr w:rsidR="00A24643" w:rsidRPr="00A24643" w14:paraId="688C8903" w14:textId="77777777" w:rsidTr="00A24643">
        <w:tc>
          <w:tcPr>
            <w:tcW w:w="0" w:type="auto"/>
            <w:hideMark/>
          </w:tcPr>
          <w:p w14:paraId="4E572305"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Publication d’un portail open data avec outils de visualisation</w:t>
            </w:r>
          </w:p>
        </w:tc>
        <w:tc>
          <w:tcPr>
            <w:tcW w:w="0" w:type="auto"/>
            <w:hideMark/>
          </w:tcPr>
          <w:p w14:paraId="7FE753F3"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Faible réutilisation citoyenne</w:t>
            </w:r>
          </w:p>
        </w:tc>
      </w:tr>
      <w:tr w:rsidR="00A24643" w:rsidRPr="00A24643" w14:paraId="46D29805" w14:textId="77777777" w:rsidTr="00A24643">
        <w:tc>
          <w:tcPr>
            <w:tcW w:w="0" w:type="auto"/>
            <w:hideMark/>
          </w:tcPr>
          <w:p w14:paraId="72711C1E" w14:textId="29390792"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 xml:space="preserve">Déploiement d’un plan de formation pluriannuel </w:t>
            </w:r>
          </w:p>
        </w:tc>
        <w:tc>
          <w:tcPr>
            <w:tcW w:w="0" w:type="auto"/>
            <w:hideMark/>
          </w:tcPr>
          <w:p w14:paraId="7850978B"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Faibles capacités institutionnelles</w:t>
            </w:r>
          </w:p>
        </w:tc>
      </w:tr>
      <w:tr w:rsidR="00A24643" w:rsidRPr="00A24643" w14:paraId="622AEBE9" w14:textId="77777777" w:rsidTr="00A24643">
        <w:tc>
          <w:tcPr>
            <w:tcW w:w="0" w:type="auto"/>
            <w:hideMark/>
          </w:tcPr>
          <w:p w14:paraId="181EE0A5"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Finalisation du cadastre pétrolier et des bases environnementales</w:t>
            </w:r>
          </w:p>
        </w:tc>
        <w:tc>
          <w:tcPr>
            <w:tcW w:w="0" w:type="auto"/>
            <w:hideMark/>
          </w:tcPr>
          <w:p w14:paraId="739CD1D6" w14:textId="77777777" w:rsidR="00A24643" w:rsidRPr="00A24643" w:rsidRDefault="00A24643" w:rsidP="00A24643">
            <w:pPr>
              <w:shd w:val="clear" w:color="auto" w:fill="FFFFFF"/>
              <w:spacing w:before="40" w:after="40"/>
              <w:rPr>
                <w:rFonts w:ascii="Kohinoor Devanagari" w:eastAsia="Times New Roman" w:hAnsi="Kohinoor Devanagari" w:cs="Kohinoor Devanagari"/>
                <w:color w:val="0D0D0D"/>
                <w:kern w:val="0"/>
                <w:sz w:val="20"/>
                <w:szCs w:val="20"/>
                <w:lang w:eastAsia="fr-FR"/>
                <w14:ligatures w14:val="none"/>
              </w:rPr>
            </w:pPr>
            <w:r w:rsidRPr="00A24643">
              <w:rPr>
                <w:rFonts w:ascii="Kohinoor Devanagari" w:eastAsia="Times New Roman" w:hAnsi="Kohinoor Devanagari" w:cs="Kohinoor Devanagari"/>
                <w:color w:val="0D0D0D"/>
                <w:kern w:val="0"/>
                <w:sz w:val="20"/>
                <w:szCs w:val="20"/>
                <w:lang w:eastAsia="fr-FR"/>
                <w14:ligatures w14:val="none"/>
              </w:rPr>
              <w:t>Lacunes en données sectorielles clés</w:t>
            </w:r>
          </w:p>
        </w:tc>
      </w:tr>
    </w:tbl>
    <w:p w14:paraId="28DDED3D" w14:textId="77777777" w:rsidR="00D11393" w:rsidRPr="00D11393" w:rsidRDefault="00D11393" w:rsidP="00D11393">
      <w:pPr>
        <w:shd w:val="clear" w:color="auto" w:fill="FFFFFF"/>
        <w:spacing w:before="180" w:after="180" w:line="240" w:lineRule="auto"/>
        <w:jc w:val="both"/>
        <w:rPr>
          <w:rFonts w:ascii="Kohinoor Devanagari" w:eastAsia="Times New Roman" w:hAnsi="Kohinoor Devanagari" w:cs="Kohinoor Devanagari"/>
          <w:b/>
          <w:bCs/>
          <w:kern w:val="0"/>
          <w:lang w:eastAsia="fr-FR"/>
          <w14:ligatures w14:val="none"/>
        </w:rPr>
      </w:pPr>
      <w:r w:rsidRPr="00D11393">
        <w:rPr>
          <w:rFonts w:ascii="Kohinoor Devanagari" w:eastAsia="Times New Roman" w:hAnsi="Kohinoor Devanagari" w:cs="Kohinoor Devanagari"/>
          <w:b/>
          <w:bCs/>
          <w:kern w:val="0"/>
          <w:lang w:eastAsia="fr-FR"/>
          <w14:ligatures w14:val="none"/>
        </w:rPr>
        <w:t>Conclusion</w:t>
      </w:r>
    </w:p>
    <w:p w14:paraId="64E30012" w14:textId="77777777" w:rsidR="00D11393" w:rsidRPr="00D11393" w:rsidRDefault="00D11393" w:rsidP="00D11393">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D11393">
        <w:rPr>
          <w:rFonts w:ascii="Kohinoor Devanagari" w:eastAsia="Times New Roman" w:hAnsi="Kohinoor Devanagari" w:cs="Kohinoor Devanagari"/>
          <w:color w:val="0D0D0D"/>
          <w:kern w:val="0"/>
          <w:sz w:val="20"/>
          <w:szCs w:val="20"/>
          <w:lang w:eastAsia="fr-FR"/>
          <w14:ligatures w14:val="none"/>
        </w:rPr>
        <w:t xml:space="preserve">La divulgation systématique des données ITIE est </w:t>
      </w:r>
      <w:r w:rsidRPr="00D11393">
        <w:rPr>
          <w:rFonts w:ascii="Kohinoor Devanagari" w:eastAsia="Times New Roman" w:hAnsi="Kohinoor Devanagari" w:cs="Kohinoor Devanagari"/>
          <w:b/>
          <w:bCs/>
          <w:color w:val="0D0D0D"/>
          <w:kern w:val="0"/>
          <w:sz w:val="20"/>
          <w:szCs w:val="20"/>
          <w:lang w:eastAsia="fr-FR"/>
          <w14:ligatures w14:val="none"/>
        </w:rPr>
        <w:t>techniquement réalisable</w:t>
      </w:r>
      <w:r w:rsidRPr="00D11393">
        <w:rPr>
          <w:rFonts w:ascii="Kohinoor Devanagari" w:eastAsia="Times New Roman" w:hAnsi="Kohinoor Devanagari" w:cs="Kohinoor Devanagari"/>
          <w:color w:val="0D0D0D"/>
          <w:kern w:val="0"/>
          <w:sz w:val="20"/>
          <w:szCs w:val="20"/>
          <w:lang w:eastAsia="fr-FR"/>
          <w14:ligatures w14:val="none"/>
        </w:rPr>
        <w:t xml:space="preserve"> au Cameroun, à condition d’adopter une stratégie progressive fondée sur :</w:t>
      </w:r>
    </w:p>
    <w:p w14:paraId="7386943E" w14:textId="77777777" w:rsidR="00D11393" w:rsidRPr="00D11393" w:rsidRDefault="00D11393" w:rsidP="00D11393">
      <w:pPr>
        <w:numPr>
          <w:ilvl w:val="0"/>
          <w:numId w:val="169"/>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D11393">
        <w:rPr>
          <w:rFonts w:ascii="Kohinoor Devanagari" w:eastAsia="Times New Roman" w:hAnsi="Kohinoor Devanagari" w:cs="Kohinoor Devanagari"/>
          <w:color w:val="0D0D0D"/>
          <w:kern w:val="0"/>
          <w:sz w:val="20"/>
          <w:szCs w:val="20"/>
          <w:lang w:eastAsia="fr-FR"/>
          <w14:ligatures w14:val="none"/>
        </w:rPr>
        <w:t>Un cadre institutionnel clair ;</w:t>
      </w:r>
    </w:p>
    <w:p w14:paraId="0CF20956" w14:textId="77777777" w:rsidR="00D11393" w:rsidRPr="00D11393" w:rsidRDefault="00D11393" w:rsidP="00D11393">
      <w:pPr>
        <w:numPr>
          <w:ilvl w:val="0"/>
          <w:numId w:val="169"/>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D11393">
        <w:rPr>
          <w:rFonts w:ascii="Kohinoor Devanagari" w:eastAsia="Times New Roman" w:hAnsi="Kohinoor Devanagari" w:cs="Kohinoor Devanagari"/>
          <w:color w:val="0D0D0D"/>
          <w:kern w:val="0"/>
          <w:sz w:val="20"/>
          <w:szCs w:val="20"/>
          <w:lang w:eastAsia="fr-FR"/>
          <w14:ligatures w14:val="none"/>
        </w:rPr>
        <w:t>Une architecture technique interopérable ;</w:t>
      </w:r>
    </w:p>
    <w:p w14:paraId="3C5CD0A1" w14:textId="77777777" w:rsidR="00D11393" w:rsidRPr="00D11393" w:rsidRDefault="00D11393" w:rsidP="00D11393">
      <w:pPr>
        <w:numPr>
          <w:ilvl w:val="0"/>
          <w:numId w:val="169"/>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D11393">
        <w:rPr>
          <w:rFonts w:ascii="Kohinoor Devanagari" w:eastAsia="Times New Roman" w:hAnsi="Kohinoor Devanagari" w:cs="Kohinoor Devanagari"/>
          <w:color w:val="0D0D0D"/>
          <w:kern w:val="0"/>
          <w:sz w:val="20"/>
          <w:szCs w:val="20"/>
          <w:lang w:eastAsia="fr-FR"/>
          <w14:ligatures w14:val="none"/>
        </w:rPr>
        <w:t>Une centralisation des données extractives ;</w:t>
      </w:r>
    </w:p>
    <w:p w14:paraId="4FBC86A8" w14:textId="77777777" w:rsidR="00D11393" w:rsidRPr="00D11393" w:rsidRDefault="00D11393" w:rsidP="00D11393">
      <w:pPr>
        <w:numPr>
          <w:ilvl w:val="0"/>
          <w:numId w:val="169"/>
        </w:num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D11393">
        <w:rPr>
          <w:rFonts w:ascii="Kohinoor Devanagari" w:eastAsia="Times New Roman" w:hAnsi="Kohinoor Devanagari" w:cs="Kohinoor Devanagari"/>
          <w:color w:val="0D0D0D"/>
          <w:kern w:val="0"/>
          <w:sz w:val="20"/>
          <w:szCs w:val="20"/>
          <w:lang w:eastAsia="fr-FR"/>
          <w14:ligatures w14:val="none"/>
        </w:rPr>
        <w:t>Un dispositif d’assurance qualité et de valorisation citoyenne.</w:t>
      </w:r>
    </w:p>
    <w:p w14:paraId="0E86B087" w14:textId="6EB78280" w:rsidR="00D11393" w:rsidRDefault="00D11393" w:rsidP="00D11393">
      <w:pPr>
        <w:shd w:val="clear" w:color="auto" w:fill="FFFFFF"/>
        <w:spacing w:before="120" w:after="120" w:line="240" w:lineRule="auto"/>
        <w:jc w:val="both"/>
        <w:rPr>
          <w:rFonts w:ascii="Kohinoor Devanagari" w:eastAsia="Times New Roman" w:hAnsi="Kohinoor Devanagari" w:cs="Kohinoor Devanagari"/>
          <w:color w:val="0D0D0D"/>
          <w:kern w:val="0"/>
          <w:sz w:val="20"/>
          <w:szCs w:val="20"/>
          <w:lang w:eastAsia="fr-FR"/>
          <w14:ligatures w14:val="none"/>
        </w:rPr>
      </w:pPr>
      <w:r w:rsidRPr="00D11393">
        <w:rPr>
          <w:rFonts w:ascii="Kohinoor Devanagari" w:eastAsia="Times New Roman" w:hAnsi="Kohinoor Devanagari" w:cs="Kohinoor Devanagari"/>
          <w:color w:val="0D0D0D"/>
          <w:kern w:val="0"/>
          <w:sz w:val="20"/>
          <w:szCs w:val="20"/>
          <w:lang w:eastAsia="fr-FR"/>
          <w14:ligatures w14:val="none"/>
        </w:rPr>
        <w:t>Cette transformation contribuera à renforcer la gouvernance du secteur extractif, à améliorer la gestion des ressources publiques et à répondre aux attentes de la Norme ITIE 2023.</w:t>
      </w:r>
    </w:p>
    <w:p w14:paraId="212A4C22" w14:textId="278EB1EC" w:rsidR="00D11393" w:rsidRPr="00D11393" w:rsidRDefault="00D11393" w:rsidP="00D11393">
      <w:pPr>
        <w:rPr>
          <w:rFonts w:ascii="Kohinoor Devanagari" w:eastAsia="Times New Roman" w:hAnsi="Kohinoor Devanagari" w:cs="Kohinoor Devanagari"/>
          <w:color w:val="0D0D0D"/>
          <w:kern w:val="0"/>
          <w:sz w:val="20"/>
          <w:szCs w:val="20"/>
          <w:lang w:eastAsia="fr-FR"/>
          <w14:ligatures w14:val="none"/>
        </w:rPr>
      </w:pPr>
      <w:r>
        <w:rPr>
          <w:rFonts w:ascii="Kohinoor Devanagari" w:eastAsia="Times New Roman" w:hAnsi="Kohinoor Devanagari" w:cs="Kohinoor Devanagari"/>
          <w:color w:val="0D0D0D"/>
          <w:kern w:val="0"/>
          <w:sz w:val="20"/>
          <w:szCs w:val="20"/>
          <w:lang w:eastAsia="fr-FR"/>
          <w14:ligatures w14:val="none"/>
        </w:rPr>
        <w:br w:type="page"/>
      </w:r>
    </w:p>
    <w:p w14:paraId="028476C2" w14:textId="21D3FE11" w:rsidR="00E019D7" w:rsidRPr="009B3188" w:rsidRDefault="00E019D7" w:rsidP="004F3B72">
      <w:pPr>
        <w:pStyle w:val="NormalWeb"/>
        <w:numPr>
          <w:ilvl w:val="0"/>
          <w:numId w:val="1"/>
        </w:numPr>
        <w:shd w:val="clear" w:color="auto" w:fill="61BC4D"/>
        <w:spacing w:before="180" w:beforeAutospacing="0" w:after="180" w:afterAutospacing="0"/>
        <w:ind w:left="357" w:hanging="357"/>
        <w:jc w:val="both"/>
        <w:rPr>
          <w:rFonts w:ascii="Kohinoor Devanagari" w:hAnsi="Kohinoor Devanagari" w:cs="Kohinoor Devanagari"/>
          <w:b/>
          <w:bCs/>
          <w:color w:val="FFFFFF" w:themeColor="background1"/>
          <w:sz w:val="26"/>
          <w:szCs w:val="26"/>
        </w:rPr>
      </w:pPr>
      <w:r w:rsidRPr="009B3188">
        <w:rPr>
          <w:rFonts w:ascii="Kohinoor Devanagari" w:hAnsi="Kohinoor Devanagari" w:cs="Kohinoor Devanagari"/>
          <w:b/>
          <w:bCs/>
          <w:color w:val="FFFFFF" w:themeColor="background1"/>
          <w:sz w:val="26"/>
          <w:szCs w:val="26"/>
        </w:rPr>
        <w:lastRenderedPageBreak/>
        <w:t>Introduction</w:t>
      </w:r>
    </w:p>
    <w:p w14:paraId="2ECCA142" w14:textId="2CDB9DEE" w:rsidR="00E019D7" w:rsidRPr="00287C1F" w:rsidRDefault="00E019D7" w:rsidP="009F21CE">
      <w:pPr>
        <w:pStyle w:val="Paragraphedeliste"/>
        <w:numPr>
          <w:ilvl w:val="1"/>
          <w:numId w:val="1"/>
        </w:numPr>
        <w:spacing w:before="120" w:after="120" w:line="240" w:lineRule="auto"/>
        <w:ind w:left="1077"/>
        <w:rPr>
          <w:rFonts w:ascii="Kohinoor Devanagari" w:eastAsia="Times New Roman" w:hAnsi="Kohinoor Devanagari" w:cs="Kohinoor Devanagari"/>
          <w:b/>
          <w:bCs/>
          <w:color w:val="000000" w:themeColor="text1"/>
          <w:kern w:val="0"/>
          <w:sz w:val="20"/>
          <w:szCs w:val="20"/>
          <w:lang w:eastAsia="fr-FR"/>
          <w14:ligatures w14:val="none"/>
        </w:rPr>
      </w:pPr>
      <w:r w:rsidRPr="00287C1F">
        <w:rPr>
          <w:rFonts w:ascii="Kohinoor Devanagari" w:eastAsia="Times New Roman" w:hAnsi="Kohinoor Devanagari" w:cs="Kohinoor Devanagari"/>
          <w:b/>
          <w:bCs/>
          <w:color w:val="000000" w:themeColor="text1"/>
          <w:kern w:val="0"/>
          <w:sz w:val="20"/>
          <w:szCs w:val="20"/>
          <w:lang w:eastAsia="fr-FR"/>
          <w14:ligatures w14:val="none"/>
        </w:rPr>
        <w:t xml:space="preserve">Contexte de l'étude </w:t>
      </w:r>
    </w:p>
    <w:p w14:paraId="52721329" w14:textId="77777777" w:rsidR="004A4F94" w:rsidRPr="00287C1F" w:rsidRDefault="004A4F94" w:rsidP="004A4F94">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287C1F">
        <w:rPr>
          <w:rFonts w:ascii="Kohinoor Devanagari" w:eastAsia="Times New Roman" w:hAnsi="Kohinoor Devanagari" w:cs="Kohinoor Devanagari"/>
          <w:color w:val="000000" w:themeColor="text1"/>
          <w:kern w:val="0"/>
          <w:sz w:val="20"/>
          <w:szCs w:val="20"/>
          <w:lang w:eastAsia="fr-FR"/>
          <w14:ligatures w14:val="none"/>
        </w:rPr>
        <w:t>La Transparence des Industries Extractives (ITIE) est une norme mondiale qui vise à promouvoir la transparence et la responsabilité dans la gestion des ressources naturelles. Elle est d’une importance capitale pour un pays comme le Cameroun, riche en ressources pétrolières, gazières et minières. Depuis son adhésion à l’ITIE en 2005, le Cameroun a publié 16 rapports couvrant les périodes de 2001 à 2022, réaffirmant son engagement en faveur d’une meilleure gouvernance dans le secteur extractif.</w:t>
      </w:r>
    </w:p>
    <w:p w14:paraId="7D55FC95" w14:textId="77777777" w:rsidR="004A4F94" w:rsidRPr="00287C1F" w:rsidRDefault="004A4F94" w:rsidP="004A4F94">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287C1F">
        <w:rPr>
          <w:rFonts w:ascii="Kohinoor Devanagari" w:eastAsia="Times New Roman" w:hAnsi="Kohinoor Devanagari" w:cs="Kohinoor Devanagari"/>
          <w:color w:val="000000" w:themeColor="text1"/>
          <w:kern w:val="0"/>
          <w:sz w:val="20"/>
          <w:szCs w:val="20"/>
          <w:lang w:eastAsia="fr-FR"/>
          <w14:ligatures w14:val="none"/>
        </w:rPr>
        <w:t>Cependant, le processus de collecte, de traitement et de publication des données ITIE demeure long et complexe engendrant parfois des retards dans la divulgation des informations, réduisant leur utilité pour les décideurs publics, les investisseurs et la société civile. De plus, l’approche reposant principalement sur des rapports annuels ne permet pas de capter en temps réel les évolutions du secteur, particulièrement dynamique, comme l’a illustré la forte variation des recettes pétrolières liée aux fluctuations des prix internationaux ou encore la dynamique récente du secteur minier.</w:t>
      </w:r>
    </w:p>
    <w:p w14:paraId="7B531DF8" w14:textId="77777777" w:rsidR="00E019D7" w:rsidRPr="00287C1F" w:rsidRDefault="00E019D7" w:rsidP="009F21CE">
      <w:pPr>
        <w:pStyle w:val="Paragraphedeliste"/>
        <w:numPr>
          <w:ilvl w:val="1"/>
          <w:numId w:val="1"/>
        </w:numPr>
        <w:spacing w:before="120" w:after="120" w:line="240" w:lineRule="auto"/>
        <w:ind w:left="1077"/>
        <w:rPr>
          <w:rFonts w:ascii="Kohinoor Devanagari" w:eastAsia="Times New Roman" w:hAnsi="Kohinoor Devanagari" w:cs="Kohinoor Devanagari"/>
          <w:b/>
          <w:bCs/>
          <w:color w:val="000000" w:themeColor="text1"/>
          <w:kern w:val="0"/>
          <w:sz w:val="20"/>
          <w:szCs w:val="20"/>
          <w:lang w:eastAsia="fr-FR"/>
          <w14:ligatures w14:val="none"/>
        </w:rPr>
      </w:pPr>
      <w:r w:rsidRPr="00287C1F">
        <w:rPr>
          <w:rFonts w:ascii="Kohinoor Devanagari" w:eastAsia="Times New Roman" w:hAnsi="Kohinoor Devanagari" w:cs="Kohinoor Devanagari"/>
          <w:b/>
          <w:bCs/>
          <w:color w:val="000000" w:themeColor="text1"/>
          <w:kern w:val="0"/>
          <w:sz w:val="20"/>
          <w:szCs w:val="20"/>
          <w:lang w:eastAsia="fr-FR"/>
          <w14:ligatures w14:val="none"/>
        </w:rPr>
        <w:t>Objectifs de l'étude.</w:t>
      </w:r>
    </w:p>
    <w:p w14:paraId="1B33DCBA" w14:textId="77777777" w:rsidR="00307D40" w:rsidRPr="00307D40" w:rsidRDefault="00307D40" w:rsidP="00307D40">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07D40">
        <w:rPr>
          <w:rFonts w:ascii="Kohinoor Devanagari" w:eastAsia="Times New Roman" w:hAnsi="Kohinoor Devanagari" w:cs="Kohinoor Devanagari"/>
          <w:color w:val="000000" w:themeColor="text1"/>
          <w:kern w:val="0"/>
          <w:sz w:val="20"/>
          <w:szCs w:val="20"/>
          <w:lang w:eastAsia="fr-FR"/>
          <w14:ligatures w14:val="none"/>
        </w:rPr>
        <w:t xml:space="preserve">L’objectif principal de cette étude est d’évaluer la </w:t>
      </w:r>
      <w:r w:rsidRPr="00307D40">
        <w:rPr>
          <w:rFonts w:ascii="Kohinoor Devanagari" w:eastAsia="Times New Roman" w:hAnsi="Kohinoor Devanagari" w:cs="Kohinoor Devanagari"/>
          <w:b/>
          <w:bCs/>
          <w:color w:val="000000" w:themeColor="text1"/>
          <w:kern w:val="0"/>
          <w:sz w:val="20"/>
          <w:szCs w:val="20"/>
          <w:lang w:eastAsia="fr-FR"/>
          <w14:ligatures w14:val="none"/>
        </w:rPr>
        <w:t>faisabilité de l’intégration des données ITIE</w:t>
      </w:r>
      <w:r w:rsidRPr="00307D40">
        <w:rPr>
          <w:rFonts w:ascii="Kohinoor Devanagari" w:eastAsia="Times New Roman" w:hAnsi="Kohinoor Devanagari" w:cs="Kohinoor Devanagari"/>
          <w:color w:val="000000" w:themeColor="text1"/>
          <w:kern w:val="0"/>
          <w:sz w:val="20"/>
          <w:szCs w:val="20"/>
          <w:lang w:eastAsia="fr-FR"/>
          <w14:ligatures w14:val="none"/>
        </w:rPr>
        <w:t xml:space="preserve"> dans les systèmes publics au Cameroun et de proposer une </w:t>
      </w:r>
      <w:r w:rsidRPr="00307D40">
        <w:rPr>
          <w:rFonts w:ascii="Kohinoor Devanagari" w:eastAsia="Times New Roman" w:hAnsi="Kohinoor Devanagari" w:cs="Kohinoor Devanagari"/>
          <w:b/>
          <w:bCs/>
          <w:color w:val="000000" w:themeColor="text1"/>
          <w:kern w:val="0"/>
          <w:sz w:val="20"/>
          <w:szCs w:val="20"/>
          <w:lang w:eastAsia="fr-FR"/>
          <w14:ligatures w14:val="none"/>
        </w:rPr>
        <w:t>feuille de route de mise en œuvre progressive</w:t>
      </w:r>
      <w:r w:rsidRPr="00307D40">
        <w:rPr>
          <w:rFonts w:ascii="Kohinoor Devanagari" w:eastAsia="Times New Roman" w:hAnsi="Kohinoor Devanagari" w:cs="Kohinoor Devanagari"/>
          <w:color w:val="000000" w:themeColor="text1"/>
          <w:kern w:val="0"/>
          <w:sz w:val="20"/>
          <w:szCs w:val="20"/>
          <w:lang w:eastAsia="fr-FR"/>
          <w14:ligatures w14:val="none"/>
        </w:rPr>
        <w:t>. Plus spécifiquement, il s’agit de :</w:t>
      </w:r>
    </w:p>
    <w:p w14:paraId="2FA78F3B" w14:textId="77777777" w:rsidR="00307D40" w:rsidRPr="00307D40" w:rsidRDefault="00307D40" w:rsidP="00307D40">
      <w:pPr>
        <w:numPr>
          <w:ilvl w:val="0"/>
          <w:numId w:val="17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07D40">
        <w:rPr>
          <w:rFonts w:ascii="Kohinoor Devanagari" w:eastAsia="Times New Roman" w:hAnsi="Kohinoor Devanagari" w:cs="Kohinoor Devanagari"/>
          <w:color w:val="000000" w:themeColor="text1"/>
          <w:kern w:val="0"/>
          <w:sz w:val="20"/>
          <w:szCs w:val="20"/>
          <w:lang w:eastAsia="fr-FR"/>
          <w14:ligatures w14:val="none"/>
        </w:rPr>
        <w:t xml:space="preserve">Dresser un </w:t>
      </w:r>
      <w:r w:rsidRPr="00307D40">
        <w:rPr>
          <w:rFonts w:ascii="Kohinoor Devanagari" w:eastAsia="Times New Roman" w:hAnsi="Kohinoor Devanagari" w:cs="Kohinoor Devanagari"/>
          <w:b/>
          <w:bCs/>
          <w:color w:val="000000" w:themeColor="text1"/>
          <w:kern w:val="0"/>
          <w:sz w:val="20"/>
          <w:szCs w:val="20"/>
          <w:lang w:eastAsia="fr-FR"/>
          <w14:ligatures w14:val="none"/>
        </w:rPr>
        <w:t>état des lieux</w:t>
      </w:r>
      <w:r w:rsidRPr="00307D40">
        <w:rPr>
          <w:rFonts w:ascii="Kohinoor Devanagari" w:eastAsia="Times New Roman" w:hAnsi="Kohinoor Devanagari" w:cs="Kohinoor Devanagari"/>
          <w:color w:val="000000" w:themeColor="text1"/>
          <w:kern w:val="0"/>
          <w:sz w:val="20"/>
          <w:szCs w:val="20"/>
          <w:lang w:eastAsia="fr-FR"/>
          <w14:ligatures w14:val="none"/>
        </w:rPr>
        <w:t xml:space="preserve"> des systèmes et procédures actuels de collecte et de publication des données extractives ;</w:t>
      </w:r>
    </w:p>
    <w:p w14:paraId="4A2EA519" w14:textId="77777777" w:rsidR="00307D40" w:rsidRPr="00307D40" w:rsidRDefault="00307D40" w:rsidP="00307D40">
      <w:pPr>
        <w:numPr>
          <w:ilvl w:val="0"/>
          <w:numId w:val="17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07D40">
        <w:rPr>
          <w:rFonts w:ascii="Kohinoor Devanagari" w:eastAsia="Times New Roman" w:hAnsi="Kohinoor Devanagari" w:cs="Kohinoor Devanagari"/>
          <w:color w:val="000000" w:themeColor="text1"/>
          <w:kern w:val="0"/>
          <w:sz w:val="20"/>
          <w:szCs w:val="20"/>
          <w:lang w:eastAsia="fr-FR"/>
          <w14:ligatures w14:val="none"/>
        </w:rPr>
        <w:t xml:space="preserve">Identifier les </w:t>
      </w:r>
      <w:r w:rsidRPr="00307D40">
        <w:rPr>
          <w:rFonts w:ascii="Kohinoor Devanagari" w:eastAsia="Times New Roman" w:hAnsi="Kohinoor Devanagari" w:cs="Kohinoor Devanagari"/>
          <w:b/>
          <w:bCs/>
          <w:color w:val="000000" w:themeColor="text1"/>
          <w:kern w:val="0"/>
          <w:sz w:val="20"/>
          <w:szCs w:val="20"/>
          <w:lang w:eastAsia="fr-FR"/>
          <w14:ligatures w14:val="none"/>
        </w:rPr>
        <w:t>obstacles techniques, institutionnels et juridiques</w:t>
      </w:r>
      <w:r w:rsidRPr="00307D40">
        <w:rPr>
          <w:rFonts w:ascii="Kohinoor Devanagari" w:eastAsia="Times New Roman" w:hAnsi="Kohinoor Devanagari" w:cs="Kohinoor Devanagari"/>
          <w:color w:val="000000" w:themeColor="text1"/>
          <w:kern w:val="0"/>
          <w:sz w:val="20"/>
          <w:szCs w:val="20"/>
          <w:lang w:eastAsia="fr-FR"/>
          <w14:ligatures w14:val="none"/>
        </w:rPr>
        <w:t xml:space="preserve"> à la divulgation systématique ;</w:t>
      </w:r>
    </w:p>
    <w:p w14:paraId="7A8081AD" w14:textId="77777777" w:rsidR="00307D40" w:rsidRPr="00307D40" w:rsidRDefault="00307D40" w:rsidP="00307D40">
      <w:pPr>
        <w:numPr>
          <w:ilvl w:val="0"/>
          <w:numId w:val="17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07D40">
        <w:rPr>
          <w:rFonts w:ascii="Kohinoor Devanagari" w:eastAsia="Times New Roman" w:hAnsi="Kohinoor Devanagari" w:cs="Kohinoor Devanagari"/>
          <w:color w:val="000000" w:themeColor="text1"/>
          <w:kern w:val="0"/>
          <w:sz w:val="20"/>
          <w:szCs w:val="20"/>
          <w:lang w:eastAsia="fr-FR"/>
          <w14:ligatures w14:val="none"/>
        </w:rPr>
        <w:t xml:space="preserve">Recueillir les </w:t>
      </w:r>
      <w:r w:rsidRPr="00307D40">
        <w:rPr>
          <w:rFonts w:ascii="Kohinoor Devanagari" w:eastAsia="Times New Roman" w:hAnsi="Kohinoor Devanagari" w:cs="Kohinoor Devanagari"/>
          <w:b/>
          <w:bCs/>
          <w:color w:val="000000" w:themeColor="text1"/>
          <w:kern w:val="0"/>
          <w:sz w:val="20"/>
          <w:szCs w:val="20"/>
          <w:lang w:eastAsia="fr-FR"/>
          <w14:ligatures w14:val="none"/>
        </w:rPr>
        <w:t>besoins des parties prenantes</w:t>
      </w:r>
      <w:r w:rsidRPr="00307D40">
        <w:rPr>
          <w:rFonts w:ascii="Kohinoor Devanagari" w:eastAsia="Times New Roman" w:hAnsi="Kohinoor Devanagari" w:cs="Kohinoor Devanagari"/>
          <w:color w:val="000000" w:themeColor="text1"/>
          <w:kern w:val="0"/>
          <w:sz w:val="20"/>
          <w:szCs w:val="20"/>
          <w:lang w:eastAsia="fr-FR"/>
          <w14:ligatures w14:val="none"/>
        </w:rPr>
        <w:t xml:space="preserve"> en matière de transparence et d’accès à l’information ;</w:t>
      </w:r>
    </w:p>
    <w:p w14:paraId="2EFBC2A2" w14:textId="77777777" w:rsidR="00307D40" w:rsidRPr="00307D40" w:rsidRDefault="00307D40" w:rsidP="00307D40">
      <w:pPr>
        <w:numPr>
          <w:ilvl w:val="0"/>
          <w:numId w:val="17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07D40">
        <w:rPr>
          <w:rFonts w:ascii="Kohinoor Devanagari" w:eastAsia="Times New Roman" w:hAnsi="Kohinoor Devanagari" w:cs="Kohinoor Devanagari"/>
          <w:color w:val="000000" w:themeColor="text1"/>
          <w:kern w:val="0"/>
          <w:sz w:val="20"/>
          <w:szCs w:val="20"/>
          <w:lang w:eastAsia="fr-FR"/>
          <w14:ligatures w14:val="none"/>
        </w:rPr>
        <w:t xml:space="preserve">Proposer une </w:t>
      </w:r>
      <w:r w:rsidRPr="00307D40">
        <w:rPr>
          <w:rFonts w:ascii="Kohinoor Devanagari" w:eastAsia="Times New Roman" w:hAnsi="Kohinoor Devanagari" w:cs="Kohinoor Devanagari"/>
          <w:b/>
          <w:bCs/>
          <w:color w:val="000000" w:themeColor="text1"/>
          <w:kern w:val="0"/>
          <w:sz w:val="20"/>
          <w:szCs w:val="20"/>
          <w:lang w:eastAsia="fr-FR"/>
          <w14:ligatures w14:val="none"/>
        </w:rPr>
        <w:t>stratégie opérationnelle</w:t>
      </w:r>
      <w:r w:rsidRPr="00307D40">
        <w:rPr>
          <w:rFonts w:ascii="Kohinoor Devanagari" w:eastAsia="Times New Roman" w:hAnsi="Kohinoor Devanagari" w:cs="Kohinoor Devanagari"/>
          <w:color w:val="000000" w:themeColor="text1"/>
          <w:kern w:val="0"/>
          <w:sz w:val="20"/>
          <w:szCs w:val="20"/>
          <w:lang w:eastAsia="fr-FR"/>
          <w14:ligatures w14:val="none"/>
        </w:rPr>
        <w:t xml:space="preserve"> avec des actions, responsabilités, échéances et ressources nécessaires.</w:t>
      </w:r>
    </w:p>
    <w:p w14:paraId="0B669334" w14:textId="77777777" w:rsidR="00307D40" w:rsidRPr="00307D40" w:rsidRDefault="00307D40" w:rsidP="00307D40">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07D40">
        <w:rPr>
          <w:rFonts w:ascii="Kohinoor Devanagari" w:eastAsia="Times New Roman" w:hAnsi="Kohinoor Devanagari" w:cs="Kohinoor Devanagari"/>
          <w:color w:val="000000" w:themeColor="text1"/>
          <w:kern w:val="0"/>
          <w:sz w:val="20"/>
          <w:szCs w:val="20"/>
          <w:lang w:eastAsia="fr-FR"/>
          <w14:ligatures w14:val="none"/>
        </w:rPr>
        <w:t xml:space="preserve">L’étude vise in fine à appuyer la transition vers une gouvernance extractive plus </w:t>
      </w:r>
      <w:r w:rsidRPr="00307D40">
        <w:rPr>
          <w:rFonts w:ascii="Kohinoor Devanagari" w:eastAsia="Times New Roman" w:hAnsi="Kohinoor Devanagari" w:cs="Kohinoor Devanagari"/>
          <w:b/>
          <w:bCs/>
          <w:color w:val="000000" w:themeColor="text1"/>
          <w:kern w:val="0"/>
          <w:sz w:val="20"/>
          <w:szCs w:val="20"/>
          <w:lang w:eastAsia="fr-FR"/>
          <w14:ligatures w14:val="none"/>
        </w:rPr>
        <w:t>transparente, intégrée et efficace</w:t>
      </w:r>
      <w:r w:rsidRPr="00307D40">
        <w:rPr>
          <w:rFonts w:ascii="Kohinoor Devanagari" w:eastAsia="Times New Roman" w:hAnsi="Kohinoor Devanagari" w:cs="Kohinoor Devanagari"/>
          <w:color w:val="000000" w:themeColor="text1"/>
          <w:kern w:val="0"/>
          <w:sz w:val="20"/>
          <w:szCs w:val="20"/>
          <w:lang w:eastAsia="fr-FR"/>
          <w14:ligatures w14:val="none"/>
        </w:rPr>
        <w:t>, au service du développement durable.</w:t>
      </w:r>
    </w:p>
    <w:p w14:paraId="56F72DDE" w14:textId="13CC3C76" w:rsidR="003A1BCF" w:rsidRPr="00287C1F" w:rsidRDefault="003A1BCF">
      <w:pPr>
        <w:rPr>
          <w:rFonts w:ascii="Kohinoor Devanagari" w:eastAsia="Times New Roman" w:hAnsi="Kohinoor Devanagari" w:cs="Kohinoor Devanagari"/>
          <w:color w:val="000000" w:themeColor="text1"/>
          <w:kern w:val="0"/>
          <w:sz w:val="20"/>
          <w:szCs w:val="20"/>
          <w:lang w:eastAsia="fr-FR"/>
          <w14:ligatures w14:val="none"/>
        </w:rPr>
      </w:pPr>
      <w:r w:rsidRPr="00287C1F">
        <w:rPr>
          <w:rFonts w:ascii="Kohinoor Devanagari" w:eastAsia="Times New Roman" w:hAnsi="Kohinoor Devanagari" w:cs="Kohinoor Devanagari"/>
          <w:color w:val="000000" w:themeColor="text1"/>
          <w:kern w:val="0"/>
          <w:sz w:val="20"/>
          <w:szCs w:val="20"/>
          <w:lang w:eastAsia="fr-FR"/>
          <w14:ligatures w14:val="none"/>
        </w:rPr>
        <w:br w:type="page"/>
      </w:r>
    </w:p>
    <w:p w14:paraId="3EB19E64" w14:textId="5E9FB3E6" w:rsidR="00E019D7" w:rsidRPr="009B3188" w:rsidRDefault="00E019D7" w:rsidP="001059BE">
      <w:pPr>
        <w:pStyle w:val="Titre1"/>
        <w:numPr>
          <w:ilvl w:val="0"/>
          <w:numId w:val="8"/>
        </w:numPr>
        <w:shd w:val="clear" w:color="auto" w:fill="61BC4D"/>
        <w:spacing w:before="180" w:after="180"/>
        <w:rPr>
          <w:rFonts w:ascii="Kohinoor Devanagari" w:hAnsi="Kohinoor Devanagari" w:cs="Kohinoor Devanagari"/>
          <w:b/>
          <w:bCs/>
          <w:color w:val="FFFFFF" w:themeColor="background1"/>
          <w:sz w:val="26"/>
          <w:szCs w:val="26"/>
        </w:rPr>
      </w:pPr>
      <w:bookmarkStart w:id="3" w:name="_Toc204691608"/>
      <w:r w:rsidRPr="009B3188">
        <w:rPr>
          <w:rFonts w:ascii="Kohinoor Devanagari" w:hAnsi="Kohinoor Devanagari" w:cs="Kohinoor Devanagari"/>
          <w:b/>
          <w:bCs/>
          <w:color w:val="FFFFFF" w:themeColor="background1"/>
          <w:sz w:val="26"/>
          <w:szCs w:val="26"/>
        </w:rPr>
        <w:lastRenderedPageBreak/>
        <w:t>Méthodologie</w:t>
      </w:r>
      <w:bookmarkEnd w:id="3"/>
    </w:p>
    <w:p w14:paraId="3F16405D" w14:textId="596FDAD2" w:rsidR="00E019D7" w:rsidRPr="00287C1F" w:rsidRDefault="003B3C3A" w:rsidP="00923874">
      <w:pPr>
        <w:pStyle w:val="Titre2"/>
        <w:numPr>
          <w:ilvl w:val="1"/>
          <w:numId w:val="8"/>
        </w:numPr>
        <w:spacing w:before="120" w:after="120" w:line="240" w:lineRule="auto"/>
        <w:ind w:left="850" w:hanging="493"/>
        <w:rPr>
          <w:rFonts w:ascii="Kohinoor Devanagari" w:eastAsia="Times New Roman" w:hAnsi="Kohinoor Devanagari" w:cs="Kohinoor Devanagari"/>
          <w:b/>
          <w:bCs/>
          <w:color w:val="000000" w:themeColor="text1"/>
          <w:sz w:val="20"/>
          <w:szCs w:val="20"/>
          <w:lang w:eastAsia="fr-FR"/>
        </w:rPr>
      </w:pPr>
      <w:bookmarkStart w:id="4" w:name="_Toc204691609"/>
      <w:r w:rsidRPr="00287C1F">
        <w:rPr>
          <w:rFonts w:ascii="Kohinoor Devanagari" w:eastAsia="Times New Roman" w:hAnsi="Kohinoor Devanagari" w:cs="Kohinoor Devanagari"/>
          <w:b/>
          <w:bCs/>
          <w:color w:val="000000" w:themeColor="text1"/>
          <w:sz w:val="20"/>
          <w:szCs w:val="20"/>
          <w:lang w:eastAsia="fr-FR"/>
        </w:rPr>
        <w:t>Approche</w:t>
      </w:r>
      <w:bookmarkEnd w:id="4"/>
    </w:p>
    <w:p w14:paraId="4B5D7D6C" w14:textId="4702F1D5" w:rsidR="00C97F53" w:rsidRDefault="00C97F53" w:rsidP="00923874">
      <w:pPr>
        <w:spacing w:before="120" w:after="120" w:line="240" w:lineRule="auto"/>
        <w:jc w:val="both"/>
        <w:rPr>
          <w:rFonts w:ascii="Kohinoor Devanagari" w:hAnsi="Kohinoor Devanagari" w:cs="Kohinoor Devanagari"/>
          <w:color w:val="000000" w:themeColor="text1"/>
          <w:sz w:val="20"/>
          <w:szCs w:val="20"/>
        </w:rPr>
      </w:pPr>
      <w:r w:rsidRPr="00C97F53">
        <w:rPr>
          <w:rFonts w:ascii="Kohinoor Devanagari" w:hAnsi="Kohinoor Devanagari" w:cs="Kohinoor Devanagari"/>
          <w:color w:val="000000" w:themeColor="text1"/>
          <w:sz w:val="20"/>
          <w:szCs w:val="20"/>
        </w:rPr>
        <w:t>Cette étude de faisabilité repose sur une approche méthodologique multidimensionnelle, combinant des sources documentaires, des consultations directes et une analyse croisée des données, afin de fournir une évaluation complète de l’intégration possible des données ITIE dans les systèmes publics du Cameroun.</w:t>
      </w:r>
    </w:p>
    <w:p w14:paraId="44EFEBB0" w14:textId="457F4DE2" w:rsidR="00F431E2" w:rsidRPr="00287C1F" w:rsidRDefault="00F431E2" w:rsidP="00923874">
      <w:pPr>
        <w:pStyle w:val="Titre3"/>
        <w:numPr>
          <w:ilvl w:val="2"/>
          <w:numId w:val="8"/>
        </w:numPr>
        <w:spacing w:before="120" w:after="120" w:line="240" w:lineRule="auto"/>
        <w:rPr>
          <w:rFonts w:ascii="Kohinoor Devanagari" w:hAnsi="Kohinoor Devanagari" w:cs="Kohinoor Devanagari"/>
          <w:b/>
          <w:bCs/>
          <w:color w:val="auto"/>
          <w:sz w:val="20"/>
          <w:szCs w:val="20"/>
        </w:rPr>
      </w:pPr>
      <w:r w:rsidRPr="00287C1F">
        <w:rPr>
          <w:rFonts w:ascii="Kohinoor Devanagari" w:hAnsi="Kohinoor Devanagari" w:cs="Kohinoor Devanagari"/>
          <w:b/>
          <w:bCs/>
          <w:color w:val="auto"/>
          <w:sz w:val="20"/>
          <w:szCs w:val="20"/>
        </w:rPr>
        <w:t>Collecte de Données</w:t>
      </w:r>
    </w:p>
    <w:p w14:paraId="7F6F9D69" w14:textId="77777777" w:rsidR="00923874" w:rsidRPr="00923874" w:rsidRDefault="00923874" w:rsidP="00923874">
      <w:p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Trois principales méthodes ont été mobilisées :</w:t>
      </w:r>
    </w:p>
    <w:p w14:paraId="787059DC" w14:textId="77777777" w:rsidR="00923874" w:rsidRPr="00923874" w:rsidRDefault="00923874" w:rsidP="00923874">
      <w:pPr>
        <w:numPr>
          <w:ilvl w:val="0"/>
          <w:numId w:val="171"/>
        </w:num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b/>
          <w:bCs/>
          <w:color w:val="000000" w:themeColor="text1"/>
          <w:sz w:val="20"/>
          <w:szCs w:val="20"/>
        </w:rPr>
        <w:t>Revue documentaire :</w:t>
      </w:r>
    </w:p>
    <w:p w14:paraId="77F6CA84" w14:textId="332A4A47" w:rsidR="00923874" w:rsidRPr="00923874" w:rsidRDefault="00923874" w:rsidP="00923874">
      <w:p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 xml:space="preserve">Elle a porté sur les rapports ITIE (2013–2022), les textes réglementaires, les documents budgétaires, les plateformes numériques (PATRIMONIE, </w:t>
      </w:r>
      <w:proofErr w:type="spellStart"/>
      <w:r w:rsidRPr="00923874">
        <w:rPr>
          <w:rFonts w:ascii="Kohinoor Devanagari" w:hAnsi="Kohinoor Devanagari" w:cs="Kohinoor Devanagari"/>
          <w:color w:val="000000" w:themeColor="text1"/>
          <w:sz w:val="20"/>
          <w:szCs w:val="20"/>
        </w:rPr>
        <w:t>Flexicadastre</w:t>
      </w:r>
      <w:proofErr w:type="spellEnd"/>
      <w:r w:rsidRPr="00923874">
        <w:rPr>
          <w:rFonts w:ascii="Kohinoor Devanagari" w:hAnsi="Kohinoor Devanagari" w:cs="Kohinoor Devanagari"/>
          <w:color w:val="000000" w:themeColor="text1"/>
          <w:sz w:val="20"/>
          <w:szCs w:val="20"/>
        </w:rPr>
        <w:t>, etc.) et les sites officiels des entités publiques. L’objectif était de :</w:t>
      </w:r>
    </w:p>
    <w:p w14:paraId="51C41014" w14:textId="77777777" w:rsidR="00923874" w:rsidRPr="00923874" w:rsidRDefault="00923874" w:rsidP="00923874">
      <w:pPr>
        <w:numPr>
          <w:ilvl w:val="1"/>
          <w:numId w:val="172"/>
        </w:numPr>
        <w:spacing w:before="120" w:after="120" w:line="240" w:lineRule="auto"/>
        <w:ind w:left="567" w:hanging="141"/>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Identifier les obligations de collecte, de traitement et de publication des données ITIE ;</w:t>
      </w:r>
    </w:p>
    <w:p w14:paraId="69A9BF48" w14:textId="77777777" w:rsidR="00923874" w:rsidRPr="00923874" w:rsidRDefault="00923874" w:rsidP="00923874">
      <w:pPr>
        <w:numPr>
          <w:ilvl w:val="1"/>
          <w:numId w:val="172"/>
        </w:numPr>
        <w:spacing w:before="120" w:after="120" w:line="240" w:lineRule="auto"/>
        <w:ind w:left="567" w:hanging="141"/>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Comprendre les rôles institutionnels et les systèmes en place ;</w:t>
      </w:r>
    </w:p>
    <w:p w14:paraId="301C1C34" w14:textId="77777777" w:rsidR="00923874" w:rsidRPr="00923874" w:rsidRDefault="00923874" w:rsidP="00923874">
      <w:pPr>
        <w:numPr>
          <w:ilvl w:val="1"/>
          <w:numId w:val="172"/>
        </w:numPr>
        <w:spacing w:before="120" w:after="120" w:line="240" w:lineRule="auto"/>
        <w:ind w:left="567" w:hanging="141"/>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Évaluer le niveau actuel de divulgation systématique ;</w:t>
      </w:r>
    </w:p>
    <w:p w14:paraId="4172B1B6" w14:textId="77777777" w:rsidR="00923874" w:rsidRPr="00923874" w:rsidRDefault="00923874" w:rsidP="00923874">
      <w:pPr>
        <w:numPr>
          <w:ilvl w:val="1"/>
          <w:numId w:val="172"/>
        </w:numPr>
        <w:spacing w:before="120" w:after="120" w:line="240" w:lineRule="auto"/>
        <w:ind w:left="567" w:hanging="141"/>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Identifier les bases de données pertinentes (RCCM, EIES, cadastre, etc.) ;</w:t>
      </w:r>
    </w:p>
    <w:p w14:paraId="68185D25" w14:textId="77777777" w:rsidR="00923874" w:rsidRPr="00923874" w:rsidRDefault="00923874" w:rsidP="00923874">
      <w:pPr>
        <w:numPr>
          <w:ilvl w:val="1"/>
          <w:numId w:val="172"/>
        </w:numPr>
        <w:spacing w:before="120" w:after="120" w:line="240" w:lineRule="auto"/>
        <w:ind w:left="567" w:hanging="141"/>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Repérer les obstacles techniques, réglementaires et organisationnels ;</w:t>
      </w:r>
    </w:p>
    <w:p w14:paraId="09BA3FF8" w14:textId="77777777" w:rsidR="00923874" w:rsidRPr="00923874" w:rsidRDefault="00923874" w:rsidP="00923874">
      <w:pPr>
        <w:numPr>
          <w:ilvl w:val="1"/>
          <w:numId w:val="172"/>
        </w:numPr>
        <w:spacing w:before="120" w:after="120" w:line="240" w:lineRule="auto"/>
        <w:ind w:left="567" w:hanging="141"/>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Recenser les bonnes pratiques nationales et internationales.</w:t>
      </w:r>
    </w:p>
    <w:p w14:paraId="67AA6A05" w14:textId="77777777" w:rsidR="00923874" w:rsidRPr="00923874" w:rsidRDefault="00923874" w:rsidP="00923874">
      <w:pPr>
        <w:numPr>
          <w:ilvl w:val="0"/>
          <w:numId w:val="171"/>
        </w:num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b/>
          <w:bCs/>
          <w:color w:val="000000" w:themeColor="text1"/>
          <w:sz w:val="20"/>
          <w:szCs w:val="20"/>
        </w:rPr>
        <w:t>Entretiens semi-structurés :</w:t>
      </w:r>
    </w:p>
    <w:p w14:paraId="4934B34F" w14:textId="355A6390" w:rsidR="00923874" w:rsidRPr="00923874" w:rsidRDefault="00923874" w:rsidP="00923874">
      <w:p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Menés avec des représentants des administrations, des entreprises publiques, du secteur privé et de la société civile, ces entretiens ont permis de recueillir des perspectives concrètes sur les défis et les attentes liés à la digitalisation et à la transparence des données extractives.</w:t>
      </w:r>
    </w:p>
    <w:p w14:paraId="605A4385" w14:textId="77777777" w:rsidR="00923874" w:rsidRPr="00923874" w:rsidRDefault="00923874" w:rsidP="00923874">
      <w:pPr>
        <w:numPr>
          <w:ilvl w:val="0"/>
          <w:numId w:val="171"/>
        </w:num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b/>
          <w:bCs/>
          <w:color w:val="000000" w:themeColor="text1"/>
          <w:sz w:val="20"/>
          <w:szCs w:val="20"/>
        </w:rPr>
        <w:t>Questionnaires ciblés :</w:t>
      </w:r>
      <w:r>
        <w:rPr>
          <w:rFonts w:ascii="Kohinoor Devanagari" w:hAnsi="Kohinoor Devanagari" w:cs="Kohinoor Devanagari"/>
          <w:b/>
          <w:bCs/>
          <w:color w:val="000000" w:themeColor="text1"/>
          <w:sz w:val="20"/>
          <w:szCs w:val="20"/>
        </w:rPr>
        <w:t xml:space="preserve"> </w:t>
      </w:r>
    </w:p>
    <w:p w14:paraId="05CFA99B" w14:textId="050D0A8C" w:rsidR="00923874" w:rsidRPr="00923874" w:rsidRDefault="00923874" w:rsidP="00923874">
      <w:pPr>
        <w:spacing w:before="120" w:after="120" w:line="240" w:lineRule="auto"/>
        <w:jc w:val="both"/>
        <w:rPr>
          <w:rFonts w:ascii="Kohinoor Devanagari" w:hAnsi="Kohinoor Devanagari" w:cs="Kohinoor Devanagari"/>
          <w:color w:val="000000" w:themeColor="text1"/>
          <w:sz w:val="20"/>
          <w:szCs w:val="20"/>
        </w:rPr>
      </w:pPr>
      <w:r w:rsidRPr="00923874">
        <w:rPr>
          <w:rFonts w:ascii="Kohinoor Devanagari" w:hAnsi="Kohinoor Devanagari" w:cs="Kohinoor Devanagari"/>
          <w:color w:val="000000" w:themeColor="text1"/>
          <w:sz w:val="20"/>
          <w:szCs w:val="20"/>
        </w:rPr>
        <w:t>Des questionnaires ont été transmis aux producteurs et utilisateurs de données, afin de recueillir des éléments quantitatifs et qualitatifs sur la disponibilité, l’accessibilité et la qualité des données ITIE, ainsi que sur les capacités internes.</w:t>
      </w:r>
    </w:p>
    <w:p w14:paraId="5ED772C0" w14:textId="77777777" w:rsidR="00F431E2" w:rsidRPr="00287C1F" w:rsidRDefault="00F431E2" w:rsidP="001059BE">
      <w:pPr>
        <w:pStyle w:val="Titre3"/>
        <w:numPr>
          <w:ilvl w:val="2"/>
          <w:numId w:val="8"/>
        </w:numPr>
        <w:spacing w:before="120" w:after="120"/>
        <w:rPr>
          <w:rFonts w:ascii="Kohinoor Devanagari" w:hAnsi="Kohinoor Devanagari" w:cs="Kohinoor Devanagari"/>
          <w:b/>
          <w:bCs/>
          <w:color w:val="auto"/>
          <w:sz w:val="20"/>
          <w:szCs w:val="20"/>
        </w:rPr>
      </w:pPr>
      <w:r w:rsidRPr="00287C1F">
        <w:rPr>
          <w:rFonts w:ascii="Kohinoor Devanagari" w:hAnsi="Kohinoor Devanagari" w:cs="Kohinoor Devanagari"/>
          <w:b/>
          <w:bCs/>
          <w:color w:val="auto"/>
          <w:sz w:val="20"/>
          <w:szCs w:val="20"/>
        </w:rPr>
        <w:t>Analyse des Données</w:t>
      </w:r>
    </w:p>
    <w:p w14:paraId="4E5F619D" w14:textId="055B89AC" w:rsidR="00CA177B" w:rsidRPr="00287C1F" w:rsidRDefault="00F431E2" w:rsidP="005E792A">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287C1F">
        <w:rPr>
          <w:rFonts w:ascii="Kohinoor Devanagari" w:eastAsia="Times New Roman" w:hAnsi="Kohinoor Devanagari" w:cs="Kohinoor Devanagari"/>
          <w:color w:val="000000" w:themeColor="text1"/>
          <w:kern w:val="0"/>
          <w:sz w:val="20"/>
          <w:szCs w:val="20"/>
          <w:lang w:eastAsia="fr-FR"/>
          <w14:ligatures w14:val="none"/>
        </w:rPr>
        <w:t xml:space="preserve">Les données recueillies à partir de ces sources ont été analysées pour identifier </w:t>
      </w:r>
      <w:r w:rsidR="00A97728" w:rsidRPr="00287C1F">
        <w:rPr>
          <w:rFonts w:ascii="Kohinoor Devanagari" w:eastAsia="Times New Roman" w:hAnsi="Kohinoor Devanagari" w:cs="Kohinoor Devanagari"/>
          <w:color w:val="000000" w:themeColor="text1"/>
          <w:kern w:val="0"/>
          <w:sz w:val="20"/>
          <w:szCs w:val="20"/>
          <w:lang w:eastAsia="fr-FR"/>
          <w14:ligatures w14:val="none"/>
        </w:rPr>
        <w:t xml:space="preserve">les pratiques, </w:t>
      </w:r>
      <w:r w:rsidRPr="00287C1F">
        <w:rPr>
          <w:rFonts w:ascii="Kohinoor Devanagari" w:eastAsia="Times New Roman" w:hAnsi="Kohinoor Devanagari" w:cs="Kohinoor Devanagari"/>
          <w:color w:val="000000" w:themeColor="text1"/>
          <w:kern w:val="0"/>
          <w:sz w:val="20"/>
          <w:szCs w:val="20"/>
          <w:lang w:eastAsia="fr-FR"/>
          <w14:ligatures w14:val="none"/>
        </w:rPr>
        <w:t>les tendances, les obstacles, et les opportunités relatifs à l'intégration des données ITIE</w:t>
      </w:r>
      <w:r w:rsidR="00980BA3" w:rsidRPr="00287C1F">
        <w:rPr>
          <w:rFonts w:ascii="Kohinoor Devanagari" w:eastAsia="Times New Roman" w:hAnsi="Kohinoor Devanagari" w:cs="Kohinoor Devanagari"/>
          <w:color w:val="000000" w:themeColor="text1"/>
          <w:kern w:val="0"/>
          <w:sz w:val="20"/>
          <w:szCs w:val="20"/>
          <w:lang w:eastAsia="fr-FR"/>
          <w14:ligatures w14:val="none"/>
        </w:rPr>
        <w:t xml:space="preserve"> dans le contexte d</w:t>
      </w:r>
      <w:r w:rsidR="000F71C5" w:rsidRPr="00287C1F">
        <w:rPr>
          <w:rFonts w:ascii="Kohinoor Devanagari" w:eastAsia="Times New Roman" w:hAnsi="Kohinoor Devanagari" w:cs="Kohinoor Devanagari"/>
          <w:color w:val="000000" w:themeColor="text1"/>
          <w:kern w:val="0"/>
          <w:sz w:val="20"/>
          <w:szCs w:val="20"/>
          <w:lang w:eastAsia="fr-FR"/>
          <w14:ligatures w14:val="none"/>
        </w:rPr>
        <w:t>u</w:t>
      </w:r>
      <w:r w:rsidR="00980BA3" w:rsidRPr="00287C1F">
        <w:rPr>
          <w:rFonts w:ascii="Kohinoor Devanagari" w:eastAsia="Times New Roman" w:hAnsi="Kohinoor Devanagari" w:cs="Kohinoor Devanagari"/>
          <w:color w:val="000000" w:themeColor="text1"/>
          <w:kern w:val="0"/>
          <w:sz w:val="20"/>
          <w:szCs w:val="20"/>
          <w:lang w:eastAsia="fr-FR"/>
          <w14:ligatures w14:val="none"/>
        </w:rPr>
        <w:t xml:space="preserve"> </w:t>
      </w:r>
      <w:r w:rsidR="000F71C5" w:rsidRPr="00287C1F">
        <w:rPr>
          <w:rFonts w:ascii="Kohinoor Devanagari" w:eastAsia="Times New Roman" w:hAnsi="Kohinoor Devanagari" w:cs="Kohinoor Devanagari"/>
          <w:color w:val="000000" w:themeColor="text1"/>
          <w:kern w:val="0"/>
          <w:sz w:val="20"/>
          <w:szCs w:val="20"/>
          <w:lang w:eastAsia="fr-FR"/>
          <w14:ligatures w14:val="none"/>
        </w:rPr>
        <w:t>Cameroun</w:t>
      </w:r>
      <w:r w:rsidR="00A60123" w:rsidRPr="00287C1F">
        <w:rPr>
          <w:rFonts w:ascii="Kohinoor Devanagari" w:eastAsia="Times New Roman" w:hAnsi="Kohinoor Devanagari" w:cs="Kohinoor Devanagari"/>
          <w:color w:val="000000" w:themeColor="text1"/>
          <w:kern w:val="0"/>
          <w:sz w:val="20"/>
          <w:szCs w:val="20"/>
          <w:lang w:eastAsia="fr-FR"/>
          <w14:ligatures w14:val="none"/>
        </w:rPr>
        <w:t xml:space="preserve">, à travers : </w:t>
      </w:r>
    </w:p>
    <w:p w14:paraId="5638D9F6" w14:textId="303DFF12" w:rsidR="00FD1449" w:rsidRPr="00287C1F" w:rsidRDefault="00FD1449" w:rsidP="001059BE">
      <w:pPr>
        <w:numPr>
          <w:ilvl w:val="0"/>
          <w:numId w:val="7"/>
        </w:numPr>
        <w:shd w:val="clear" w:color="auto" w:fill="FFFFFF"/>
        <w:spacing w:before="120" w:after="120" w:line="240" w:lineRule="auto"/>
        <w:jc w:val="both"/>
        <w:rPr>
          <w:rFonts w:ascii="Kohinoor Devanagari" w:hAnsi="Kohinoor Devanagari" w:cs="Kohinoor Devanagari"/>
          <w:color w:val="0D0D0D"/>
          <w:sz w:val="20"/>
          <w:szCs w:val="20"/>
        </w:rPr>
      </w:pPr>
      <w:r w:rsidRPr="00287C1F">
        <w:rPr>
          <w:rFonts w:ascii="Kohinoor Devanagari" w:eastAsia="Times New Roman" w:hAnsi="Kohinoor Devanagari" w:cs="Kohinoor Devanagari"/>
          <w:b/>
          <w:bCs/>
          <w:color w:val="000000" w:themeColor="text1"/>
          <w:kern w:val="0"/>
          <w:sz w:val="20"/>
          <w:szCs w:val="20"/>
          <w:lang w:eastAsia="fr-FR"/>
          <w14:ligatures w14:val="none"/>
        </w:rPr>
        <w:t>Conformité à la Norme ITIE</w:t>
      </w:r>
      <w:r w:rsidR="004E5063" w:rsidRPr="00287C1F">
        <w:rPr>
          <w:rFonts w:ascii="Kohinoor Devanagari" w:eastAsia="Times New Roman" w:hAnsi="Kohinoor Devanagari" w:cs="Kohinoor Devanagari"/>
          <w:b/>
          <w:bCs/>
          <w:color w:val="000000" w:themeColor="text1"/>
          <w:kern w:val="0"/>
          <w:sz w:val="20"/>
          <w:szCs w:val="20"/>
          <w:lang w:eastAsia="fr-FR"/>
          <w14:ligatures w14:val="none"/>
        </w:rPr>
        <w:t xml:space="preserve"> </w:t>
      </w:r>
      <w:r w:rsidRPr="00287C1F">
        <w:rPr>
          <w:rStyle w:val="lev"/>
          <w:rFonts w:ascii="Kohinoor Devanagari" w:hAnsi="Kohinoor Devanagari" w:cs="Kohinoor Devanagari"/>
          <w:b w:val="0"/>
          <w:bCs w:val="0"/>
          <w:color w:val="0D0D0D"/>
          <w:sz w:val="20"/>
          <w:szCs w:val="20"/>
        </w:rPr>
        <w:t>:</w:t>
      </w:r>
      <w:r w:rsidRPr="00287C1F">
        <w:rPr>
          <w:rFonts w:ascii="Kohinoor Devanagari" w:hAnsi="Kohinoor Devanagari" w:cs="Kohinoor Devanagari"/>
          <w:b/>
          <w:bCs/>
          <w:color w:val="0D0D0D"/>
          <w:sz w:val="20"/>
          <w:szCs w:val="20"/>
        </w:rPr>
        <w:t xml:space="preserve"> </w:t>
      </w:r>
      <w:r w:rsidRPr="00287C1F">
        <w:rPr>
          <w:rFonts w:ascii="Kohinoor Devanagari" w:hAnsi="Kohinoor Devanagari" w:cs="Kohinoor Devanagari"/>
          <w:color w:val="0D0D0D"/>
          <w:sz w:val="20"/>
          <w:szCs w:val="20"/>
        </w:rPr>
        <w:t xml:space="preserve">Évaluation du degré de conformité des pratiques de divulgation actuelles avec les exigences de la </w:t>
      </w:r>
      <w:r w:rsidR="00D276E9" w:rsidRPr="00287C1F">
        <w:rPr>
          <w:rFonts w:ascii="Kohinoor Devanagari" w:hAnsi="Kohinoor Devanagari" w:cs="Kohinoor Devanagari"/>
          <w:color w:val="0D0D0D"/>
          <w:sz w:val="20"/>
          <w:szCs w:val="20"/>
        </w:rPr>
        <w:t>N</w:t>
      </w:r>
      <w:r w:rsidRPr="00287C1F">
        <w:rPr>
          <w:rFonts w:ascii="Kohinoor Devanagari" w:hAnsi="Kohinoor Devanagari" w:cs="Kohinoor Devanagari"/>
          <w:color w:val="0D0D0D"/>
          <w:sz w:val="20"/>
          <w:szCs w:val="20"/>
        </w:rPr>
        <w:t>orme ITIE.</w:t>
      </w:r>
    </w:p>
    <w:p w14:paraId="5E0E8EC1" w14:textId="77AE958C" w:rsidR="00FD1449" w:rsidRPr="00287C1F" w:rsidRDefault="00FD1449" w:rsidP="001059BE">
      <w:pPr>
        <w:numPr>
          <w:ilvl w:val="0"/>
          <w:numId w:val="7"/>
        </w:numPr>
        <w:shd w:val="clear" w:color="auto" w:fill="FFFFFF"/>
        <w:spacing w:before="120" w:after="120" w:line="240" w:lineRule="auto"/>
        <w:jc w:val="both"/>
        <w:rPr>
          <w:rFonts w:ascii="Kohinoor Devanagari" w:hAnsi="Kohinoor Devanagari" w:cs="Kohinoor Devanagari"/>
          <w:color w:val="0D0D0D"/>
          <w:sz w:val="20"/>
          <w:szCs w:val="20"/>
        </w:rPr>
      </w:pPr>
      <w:r w:rsidRPr="00287C1F">
        <w:rPr>
          <w:rStyle w:val="lev"/>
          <w:rFonts w:ascii="Kohinoor Devanagari" w:hAnsi="Kohinoor Devanagari" w:cs="Kohinoor Devanagari"/>
          <w:color w:val="0D0D0D"/>
          <w:sz w:val="20"/>
          <w:szCs w:val="20"/>
        </w:rPr>
        <w:lastRenderedPageBreak/>
        <w:t>Efficacité de la Communication :</w:t>
      </w:r>
      <w:r w:rsidRPr="00287C1F">
        <w:rPr>
          <w:rFonts w:ascii="Kohinoor Devanagari" w:hAnsi="Kohinoor Devanagari" w:cs="Kohinoor Devanagari"/>
          <w:color w:val="0D0D0D"/>
          <w:sz w:val="20"/>
          <w:szCs w:val="20"/>
        </w:rPr>
        <w:t xml:space="preserve"> Analyse de la clarté, de l'accessibilité</w:t>
      </w:r>
      <w:r w:rsidR="003040E0" w:rsidRPr="00287C1F">
        <w:rPr>
          <w:rFonts w:ascii="Kohinoor Devanagari" w:hAnsi="Kohinoor Devanagari" w:cs="Kohinoor Devanagari"/>
          <w:color w:val="0D0D0D"/>
          <w:sz w:val="20"/>
          <w:szCs w:val="20"/>
        </w:rPr>
        <w:t>, le format de divulgation</w:t>
      </w:r>
      <w:r w:rsidRPr="00287C1F">
        <w:rPr>
          <w:rFonts w:ascii="Kohinoor Devanagari" w:hAnsi="Kohinoor Devanagari" w:cs="Kohinoor Devanagari"/>
          <w:color w:val="0D0D0D"/>
          <w:sz w:val="20"/>
          <w:szCs w:val="20"/>
        </w:rPr>
        <w:t xml:space="preserve"> des données ITIE.</w:t>
      </w:r>
    </w:p>
    <w:p w14:paraId="36A8D3C5" w14:textId="330F58EF" w:rsidR="00FD1449" w:rsidRPr="00287C1F" w:rsidRDefault="00FD1449" w:rsidP="001059BE">
      <w:pPr>
        <w:numPr>
          <w:ilvl w:val="0"/>
          <w:numId w:val="7"/>
        </w:numPr>
        <w:shd w:val="clear" w:color="auto" w:fill="FFFFFF"/>
        <w:spacing w:before="120" w:after="120" w:line="240" w:lineRule="auto"/>
        <w:jc w:val="both"/>
        <w:rPr>
          <w:rFonts w:ascii="Kohinoor Devanagari" w:hAnsi="Kohinoor Devanagari" w:cs="Kohinoor Devanagari"/>
          <w:color w:val="0D0D0D"/>
          <w:sz w:val="20"/>
          <w:szCs w:val="20"/>
        </w:rPr>
      </w:pPr>
      <w:r w:rsidRPr="00287C1F">
        <w:rPr>
          <w:rStyle w:val="lev"/>
          <w:rFonts w:ascii="Kohinoor Devanagari" w:hAnsi="Kohinoor Devanagari" w:cs="Kohinoor Devanagari"/>
          <w:color w:val="0D0D0D"/>
          <w:sz w:val="20"/>
          <w:szCs w:val="20"/>
        </w:rPr>
        <w:t>Recommandations :</w:t>
      </w:r>
      <w:r w:rsidRPr="00287C1F">
        <w:rPr>
          <w:rFonts w:ascii="Kohinoor Devanagari" w:hAnsi="Kohinoor Devanagari" w:cs="Kohinoor Devanagari"/>
          <w:color w:val="0D0D0D"/>
          <w:sz w:val="20"/>
          <w:szCs w:val="20"/>
        </w:rPr>
        <w:t xml:space="preserve"> Développement de recommandations basées sur l'analyse croisée des résultats de la revue documentaire, des entretiens, des questionnaires et des meilleurs pratiques, pour améliorer l'intégration des données ITIE dans les systèmes gouvernementaux </w:t>
      </w:r>
      <w:r w:rsidR="000F71C5" w:rsidRPr="00287C1F">
        <w:rPr>
          <w:rFonts w:ascii="Kohinoor Devanagari" w:hAnsi="Kohinoor Devanagari" w:cs="Kohinoor Devanagari"/>
          <w:color w:val="0D0D0D"/>
          <w:sz w:val="20"/>
          <w:szCs w:val="20"/>
        </w:rPr>
        <w:t>au Cameroun</w:t>
      </w:r>
      <w:r w:rsidRPr="00287C1F">
        <w:rPr>
          <w:rFonts w:ascii="Kohinoor Devanagari" w:hAnsi="Kohinoor Devanagari" w:cs="Kohinoor Devanagari"/>
          <w:color w:val="0D0D0D"/>
          <w:sz w:val="20"/>
          <w:szCs w:val="20"/>
        </w:rPr>
        <w:t>.</w:t>
      </w:r>
    </w:p>
    <w:p w14:paraId="53B0080D" w14:textId="38833269" w:rsidR="00E019D7" w:rsidRPr="00287C1F" w:rsidRDefault="00E019D7" w:rsidP="001059BE">
      <w:pPr>
        <w:pStyle w:val="Titre2"/>
        <w:numPr>
          <w:ilvl w:val="1"/>
          <w:numId w:val="8"/>
        </w:numPr>
        <w:spacing w:before="180" w:after="180"/>
        <w:ind w:left="850" w:hanging="493"/>
        <w:rPr>
          <w:rFonts w:ascii="Kohinoor Devanagari" w:eastAsia="Times New Roman" w:hAnsi="Kohinoor Devanagari" w:cs="Kohinoor Devanagari"/>
          <w:b/>
          <w:bCs/>
          <w:color w:val="000000" w:themeColor="text1"/>
          <w:sz w:val="20"/>
          <w:szCs w:val="20"/>
          <w:lang w:eastAsia="fr-FR"/>
        </w:rPr>
      </w:pPr>
      <w:bookmarkStart w:id="5" w:name="_Toc204691610"/>
      <w:r w:rsidRPr="00287C1F">
        <w:rPr>
          <w:rFonts w:ascii="Kohinoor Devanagari" w:eastAsia="Times New Roman" w:hAnsi="Kohinoor Devanagari" w:cs="Kohinoor Devanagari"/>
          <w:b/>
          <w:bCs/>
          <w:color w:val="000000" w:themeColor="text1"/>
          <w:sz w:val="20"/>
          <w:szCs w:val="20"/>
          <w:lang w:eastAsia="fr-FR"/>
        </w:rPr>
        <w:t>Parties prenantes consulté</w:t>
      </w:r>
      <w:r w:rsidR="00D85F7F" w:rsidRPr="00287C1F">
        <w:rPr>
          <w:rFonts w:ascii="Kohinoor Devanagari" w:eastAsia="Times New Roman" w:hAnsi="Kohinoor Devanagari" w:cs="Kohinoor Devanagari"/>
          <w:b/>
          <w:bCs/>
          <w:color w:val="000000" w:themeColor="text1"/>
          <w:sz w:val="20"/>
          <w:szCs w:val="20"/>
          <w:lang w:eastAsia="fr-FR"/>
        </w:rPr>
        <w:t>e</w:t>
      </w:r>
      <w:r w:rsidRPr="00287C1F">
        <w:rPr>
          <w:rFonts w:ascii="Kohinoor Devanagari" w:eastAsia="Times New Roman" w:hAnsi="Kohinoor Devanagari" w:cs="Kohinoor Devanagari"/>
          <w:b/>
          <w:bCs/>
          <w:color w:val="000000" w:themeColor="text1"/>
          <w:sz w:val="20"/>
          <w:szCs w:val="20"/>
          <w:lang w:eastAsia="fr-FR"/>
        </w:rPr>
        <w:t>s</w:t>
      </w:r>
      <w:bookmarkEnd w:id="5"/>
    </w:p>
    <w:p w14:paraId="32A38B3D" w14:textId="60900E08" w:rsidR="0059041D" w:rsidRPr="00287C1F" w:rsidRDefault="005E792A" w:rsidP="000814BD">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287C1F">
        <w:rPr>
          <w:rFonts w:ascii="Kohinoor Devanagari" w:eastAsia="Times New Roman" w:hAnsi="Kohinoor Devanagari" w:cs="Kohinoor Devanagari"/>
          <w:color w:val="000000" w:themeColor="text1"/>
          <w:kern w:val="0"/>
          <w:sz w:val="20"/>
          <w:szCs w:val="20"/>
          <w:lang w:eastAsia="fr-FR"/>
          <w14:ligatures w14:val="none"/>
        </w:rPr>
        <w:t xml:space="preserve">Dans le cadre de cette étude, </w:t>
      </w:r>
      <w:r w:rsidR="0043669B" w:rsidRPr="00287C1F">
        <w:rPr>
          <w:rFonts w:ascii="Kohinoor Devanagari" w:eastAsia="Times New Roman" w:hAnsi="Kohinoor Devanagari" w:cs="Kohinoor Devanagari"/>
          <w:color w:val="000000" w:themeColor="text1"/>
          <w:kern w:val="0"/>
          <w:sz w:val="20"/>
          <w:szCs w:val="20"/>
          <w:lang w:eastAsia="fr-FR"/>
          <w14:ligatures w14:val="none"/>
        </w:rPr>
        <w:t>l</w:t>
      </w:r>
      <w:r w:rsidRPr="00287C1F">
        <w:rPr>
          <w:rFonts w:ascii="Kohinoor Devanagari" w:eastAsia="Times New Roman" w:hAnsi="Kohinoor Devanagari" w:cs="Kohinoor Devanagari"/>
          <w:color w:val="000000" w:themeColor="text1"/>
          <w:kern w:val="0"/>
          <w:sz w:val="20"/>
          <w:szCs w:val="20"/>
          <w:lang w:eastAsia="fr-FR"/>
          <w14:ligatures w14:val="none"/>
        </w:rPr>
        <w:t xml:space="preserve">a consultation </w:t>
      </w:r>
      <w:r w:rsidR="0043669B" w:rsidRPr="00287C1F">
        <w:rPr>
          <w:rFonts w:ascii="Kohinoor Devanagari" w:eastAsia="Times New Roman" w:hAnsi="Kohinoor Devanagari" w:cs="Kohinoor Devanagari"/>
          <w:color w:val="000000" w:themeColor="text1"/>
          <w:kern w:val="0"/>
          <w:sz w:val="20"/>
          <w:szCs w:val="20"/>
          <w:lang w:eastAsia="fr-FR"/>
          <w14:ligatures w14:val="none"/>
        </w:rPr>
        <w:t xml:space="preserve">a couvert </w:t>
      </w:r>
      <w:r w:rsidRPr="00287C1F">
        <w:rPr>
          <w:rFonts w:ascii="Kohinoor Devanagari" w:eastAsia="Times New Roman" w:hAnsi="Kohinoor Devanagari" w:cs="Kohinoor Devanagari"/>
          <w:color w:val="000000" w:themeColor="text1"/>
          <w:kern w:val="0"/>
          <w:sz w:val="20"/>
          <w:szCs w:val="20"/>
          <w:lang w:eastAsia="fr-FR"/>
          <w14:ligatures w14:val="none"/>
        </w:rPr>
        <w:t>un large éventail de parties prenantes</w:t>
      </w:r>
      <w:r w:rsidR="004B1254" w:rsidRPr="00287C1F">
        <w:rPr>
          <w:rFonts w:ascii="Kohinoor Devanagari" w:eastAsia="Times New Roman" w:hAnsi="Kohinoor Devanagari" w:cs="Kohinoor Devanagari"/>
          <w:color w:val="000000" w:themeColor="text1"/>
          <w:kern w:val="0"/>
          <w:sz w:val="20"/>
          <w:szCs w:val="20"/>
          <w:lang w:eastAsia="fr-FR"/>
          <w14:ligatures w14:val="none"/>
        </w:rPr>
        <w:t xml:space="preserve"> pour garantir que les conclusions reflètent une compréhension globale des enjeux</w:t>
      </w:r>
      <w:r w:rsidRPr="00287C1F">
        <w:rPr>
          <w:rFonts w:ascii="Kohinoor Devanagari" w:eastAsia="Times New Roman" w:hAnsi="Kohinoor Devanagari" w:cs="Kohinoor Devanagari"/>
          <w:color w:val="000000" w:themeColor="text1"/>
          <w:kern w:val="0"/>
          <w:sz w:val="20"/>
          <w:szCs w:val="20"/>
          <w:lang w:eastAsia="fr-FR"/>
          <w14:ligatures w14:val="none"/>
        </w:rPr>
        <w:t xml:space="preserve">. </w:t>
      </w:r>
    </w:p>
    <w:p w14:paraId="7BF26A63" w14:textId="6BB0C0D1" w:rsidR="005E792A" w:rsidRPr="00287C1F" w:rsidRDefault="005E792A" w:rsidP="001059BE">
      <w:pPr>
        <w:pStyle w:val="Paragraphedeliste"/>
        <w:numPr>
          <w:ilvl w:val="0"/>
          <w:numId w:val="6"/>
        </w:numPr>
        <w:rPr>
          <w:rFonts w:ascii="Kohinoor Devanagari" w:hAnsi="Kohinoor Devanagari" w:cs="Kohinoor Devanagari"/>
          <w:b/>
          <w:bCs/>
          <w:sz w:val="20"/>
          <w:szCs w:val="20"/>
        </w:rPr>
      </w:pPr>
      <w:r w:rsidRPr="00287C1F">
        <w:rPr>
          <w:rFonts w:ascii="Kohinoor Devanagari" w:hAnsi="Kohinoor Devanagari" w:cs="Kohinoor Devanagari"/>
          <w:b/>
          <w:bCs/>
          <w:sz w:val="20"/>
          <w:szCs w:val="20"/>
        </w:rPr>
        <w:t>Structures Initialement Identifiées</w:t>
      </w:r>
    </w:p>
    <w:p w14:paraId="1DE852DA" w14:textId="77777777" w:rsidR="005E792A" w:rsidRPr="00287C1F" w:rsidRDefault="005E792A" w:rsidP="00D073FF">
      <w:pPr>
        <w:pStyle w:val="NormalWeb"/>
        <w:spacing w:before="0" w:beforeAutospacing="0" w:after="120" w:afterAutospacing="0"/>
        <w:rPr>
          <w:rFonts w:ascii="Kohinoor Devanagari" w:hAnsi="Kohinoor Devanagari" w:cs="Kohinoor Devanagari"/>
          <w:color w:val="000000" w:themeColor="text1"/>
          <w:sz w:val="20"/>
          <w:szCs w:val="20"/>
        </w:rPr>
      </w:pPr>
      <w:r w:rsidRPr="00287C1F">
        <w:rPr>
          <w:rFonts w:ascii="Kohinoor Devanagari" w:hAnsi="Kohinoor Devanagari" w:cs="Kohinoor Devanagari"/>
          <w:color w:val="000000" w:themeColor="text1"/>
          <w:sz w:val="20"/>
          <w:szCs w:val="20"/>
        </w:rPr>
        <w:t>La liste initiale des parties prenantes identifiées pour cette étude inclut :</w:t>
      </w:r>
    </w:p>
    <w:p w14:paraId="74BF2479" w14:textId="117729F1" w:rsidR="005E792A" w:rsidRPr="00287C1F" w:rsidRDefault="005E792A" w:rsidP="00F97162">
      <w:pPr>
        <w:numPr>
          <w:ilvl w:val="0"/>
          <w:numId w:val="4"/>
        </w:numPr>
        <w:spacing w:before="120" w:after="120" w:line="240" w:lineRule="auto"/>
        <w:ind w:left="714" w:hanging="357"/>
        <w:rPr>
          <w:rFonts w:ascii="Kohinoor Devanagari" w:hAnsi="Kohinoor Devanagari" w:cs="Kohinoor Devanagari"/>
          <w:color w:val="000000" w:themeColor="text1"/>
          <w:sz w:val="20"/>
          <w:szCs w:val="20"/>
        </w:rPr>
      </w:pPr>
      <w:r w:rsidRPr="00287C1F">
        <w:rPr>
          <w:rStyle w:val="lev"/>
          <w:rFonts w:ascii="Kohinoor Devanagari" w:hAnsi="Kohinoor Devanagari" w:cs="Kohinoor Devanagari"/>
          <w:color w:val="000000" w:themeColor="text1"/>
          <w:sz w:val="20"/>
          <w:szCs w:val="20"/>
        </w:rPr>
        <w:t xml:space="preserve">Comité National ITIE </w:t>
      </w:r>
      <w:r w:rsidR="00685A62" w:rsidRPr="00287C1F">
        <w:rPr>
          <w:rStyle w:val="lev"/>
          <w:rFonts w:ascii="Kohinoor Devanagari" w:hAnsi="Kohinoor Devanagari" w:cs="Kohinoor Devanagari"/>
          <w:color w:val="000000" w:themeColor="text1"/>
          <w:sz w:val="20"/>
          <w:szCs w:val="20"/>
        </w:rPr>
        <w:t>Cameroun</w:t>
      </w:r>
      <w:r w:rsidRPr="00287C1F">
        <w:rPr>
          <w:rFonts w:ascii="Kohinoor Devanagari" w:hAnsi="Kohinoor Devanagari" w:cs="Kohinoor Devanagari"/>
          <w:color w:val="000000" w:themeColor="text1"/>
          <w:sz w:val="20"/>
          <w:szCs w:val="20"/>
        </w:rPr>
        <w:t xml:space="preserve"> : Organe principal de supervision de l'initiative ITIE </w:t>
      </w:r>
      <w:r w:rsidR="00685A62" w:rsidRPr="00287C1F">
        <w:rPr>
          <w:rFonts w:ascii="Kohinoor Devanagari" w:hAnsi="Kohinoor Devanagari" w:cs="Kohinoor Devanagari"/>
          <w:color w:val="000000" w:themeColor="text1"/>
          <w:sz w:val="20"/>
          <w:szCs w:val="20"/>
        </w:rPr>
        <w:t>au Cameroun</w:t>
      </w:r>
      <w:r w:rsidRPr="00287C1F">
        <w:rPr>
          <w:rFonts w:ascii="Kohinoor Devanagari" w:hAnsi="Kohinoor Devanagari" w:cs="Kohinoor Devanagari"/>
          <w:color w:val="000000" w:themeColor="text1"/>
          <w:sz w:val="20"/>
          <w:szCs w:val="20"/>
        </w:rPr>
        <w:t>, jouant un rôle central dans la coordination et la mise en œuvre des activités liées à l'ITIE.</w:t>
      </w:r>
    </w:p>
    <w:p w14:paraId="63E72766" w14:textId="331F8983" w:rsidR="005E792A" w:rsidRPr="00287C1F" w:rsidRDefault="005E792A" w:rsidP="00F97162">
      <w:pPr>
        <w:numPr>
          <w:ilvl w:val="0"/>
          <w:numId w:val="4"/>
        </w:numPr>
        <w:spacing w:before="120" w:after="120" w:line="240" w:lineRule="auto"/>
        <w:ind w:left="714" w:hanging="357"/>
        <w:jc w:val="both"/>
        <w:rPr>
          <w:rFonts w:ascii="Kohinoor Devanagari" w:hAnsi="Kohinoor Devanagari" w:cs="Kohinoor Devanagari"/>
          <w:color w:val="000000" w:themeColor="text1"/>
          <w:sz w:val="20"/>
          <w:szCs w:val="20"/>
        </w:rPr>
      </w:pPr>
      <w:r w:rsidRPr="00287C1F">
        <w:rPr>
          <w:rStyle w:val="lev"/>
          <w:rFonts w:ascii="Kohinoor Devanagari" w:hAnsi="Kohinoor Devanagari" w:cs="Kohinoor Devanagari"/>
          <w:color w:val="000000" w:themeColor="text1"/>
          <w:sz w:val="20"/>
          <w:szCs w:val="20"/>
        </w:rPr>
        <w:t xml:space="preserve">Gouvernement et </w:t>
      </w:r>
      <w:r w:rsidR="00216CD8" w:rsidRPr="00287C1F">
        <w:rPr>
          <w:rStyle w:val="lev"/>
          <w:rFonts w:ascii="Kohinoor Devanagari" w:hAnsi="Kohinoor Devanagari" w:cs="Kohinoor Devanagari"/>
          <w:color w:val="000000" w:themeColor="text1"/>
          <w:sz w:val="20"/>
          <w:szCs w:val="20"/>
        </w:rPr>
        <w:t>entités p</w:t>
      </w:r>
      <w:r w:rsidRPr="00287C1F">
        <w:rPr>
          <w:rStyle w:val="lev"/>
          <w:rFonts w:ascii="Kohinoor Devanagari" w:hAnsi="Kohinoor Devanagari" w:cs="Kohinoor Devanagari"/>
          <w:color w:val="000000" w:themeColor="text1"/>
          <w:sz w:val="20"/>
          <w:szCs w:val="20"/>
        </w:rPr>
        <w:t>ubliques</w:t>
      </w:r>
      <w:r w:rsidRPr="00287C1F">
        <w:rPr>
          <w:rFonts w:ascii="Kohinoor Devanagari" w:hAnsi="Kohinoor Devanagari" w:cs="Kohinoor Devanagari"/>
          <w:color w:val="000000" w:themeColor="text1"/>
          <w:sz w:val="20"/>
          <w:szCs w:val="20"/>
        </w:rPr>
        <w:t xml:space="preserve"> : Différents ministères et agences gouvernementales impliqués </w:t>
      </w:r>
      <w:r w:rsidR="00770167" w:rsidRPr="00287C1F">
        <w:rPr>
          <w:rFonts w:ascii="Kohinoor Devanagari" w:hAnsi="Kohinoor Devanagari" w:cs="Kohinoor Devanagari"/>
          <w:color w:val="000000" w:themeColor="text1"/>
          <w:sz w:val="20"/>
          <w:szCs w:val="20"/>
        </w:rPr>
        <w:t xml:space="preserve">dans </w:t>
      </w:r>
      <w:r w:rsidR="00EE4625" w:rsidRPr="00287C1F">
        <w:rPr>
          <w:rFonts w:ascii="Kohinoor Devanagari" w:hAnsi="Kohinoor Devanagari" w:cs="Kohinoor Devanagari"/>
          <w:color w:val="000000" w:themeColor="text1"/>
          <w:sz w:val="20"/>
          <w:szCs w:val="20"/>
        </w:rPr>
        <w:t xml:space="preserve">la liquidation, le recouvrement </w:t>
      </w:r>
      <w:r w:rsidR="002E049A" w:rsidRPr="00287C1F">
        <w:rPr>
          <w:rFonts w:ascii="Kohinoor Devanagari" w:hAnsi="Kohinoor Devanagari" w:cs="Kohinoor Devanagari"/>
          <w:color w:val="000000" w:themeColor="text1"/>
          <w:sz w:val="20"/>
          <w:szCs w:val="20"/>
        </w:rPr>
        <w:t xml:space="preserve">et le contrôle des recettes du </w:t>
      </w:r>
      <w:r w:rsidRPr="00287C1F">
        <w:rPr>
          <w:rFonts w:ascii="Kohinoor Devanagari" w:hAnsi="Kohinoor Devanagari" w:cs="Kohinoor Devanagari"/>
          <w:color w:val="000000" w:themeColor="text1"/>
          <w:sz w:val="20"/>
          <w:szCs w:val="20"/>
        </w:rPr>
        <w:t xml:space="preserve">secteur </w:t>
      </w:r>
      <w:r w:rsidR="002E049A" w:rsidRPr="00287C1F">
        <w:rPr>
          <w:rFonts w:ascii="Kohinoor Devanagari" w:hAnsi="Kohinoor Devanagari" w:cs="Kohinoor Devanagari"/>
          <w:color w:val="000000" w:themeColor="text1"/>
          <w:sz w:val="20"/>
          <w:szCs w:val="20"/>
        </w:rPr>
        <w:t>des ressources naturelles</w:t>
      </w:r>
      <w:r w:rsidR="0099650D" w:rsidRPr="00287C1F">
        <w:rPr>
          <w:rFonts w:ascii="Kohinoor Devanagari" w:hAnsi="Kohinoor Devanagari" w:cs="Kohinoor Devanagari"/>
          <w:color w:val="000000" w:themeColor="text1"/>
          <w:sz w:val="20"/>
          <w:szCs w:val="20"/>
        </w:rPr>
        <w:t xml:space="preserve"> et dans les réformes des finances publiques</w:t>
      </w:r>
      <w:r w:rsidRPr="00287C1F">
        <w:rPr>
          <w:rFonts w:ascii="Kohinoor Devanagari" w:hAnsi="Kohinoor Devanagari" w:cs="Kohinoor Devanagari"/>
          <w:color w:val="000000" w:themeColor="text1"/>
          <w:sz w:val="20"/>
          <w:szCs w:val="20"/>
        </w:rPr>
        <w:t>.</w:t>
      </w:r>
    </w:p>
    <w:p w14:paraId="35DF4E32" w14:textId="02C2DF18" w:rsidR="005E792A" w:rsidRPr="00287C1F" w:rsidRDefault="005E792A" w:rsidP="00F97162">
      <w:pPr>
        <w:numPr>
          <w:ilvl w:val="0"/>
          <w:numId w:val="4"/>
        </w:numPr>
        <w:spacing w:before="120" w:after="120" w:line="240" w:lineRule="auto"/>
        <w:ind w:left="714" w:hanging="357"/>
        <w:jc w:val="both"/>
        <w:rPr>
          <w:rFonts w:ascii="Kohinoor Devanagari" w:hAnsi="Kohinoor Devanagari" w:cs="Kohinoor Devanagari"/>
          <w:color w:val="000000" w:themeColor="text1"/>
          <w:sz w:val="20"/>
          <w:szCs w:val="20"/>
        </w:rPr>
      </w:pPr>
      <w:r w:rsidRPr="00287C1F">
        <w:rPr>
          <w:rStyle w:val="lev"/>
          <w:rFonts w:ascii="Kohinoor Devanagari" w:hAnsi="Kohinoor Devanagari" w:cs="Kohinoor Devanagari"/>
          <w:color w:val="000000" w:themeColor="text1"/>
          <w:sz w:val="20"/>
          <w:szCs w:val="20"/>
        </w:rPr>
        <w:t xml:space="preserve">Entreprises </w:t>
      </w:r>
      <w:r w:rsidR="003E43F7">
        <w:rPr>
          <w:rStyle w:val="lev"/>
          <w:rFonts w:ascii="Kohinoor Devanagari" w:hAnsi="Kohinoor Devanagari" w:cs="Kohinoor Devanagari"/>
          <w:color w:val="000000" w:themeColor="text1"/>
          <w:sz w:val="20"/>
          <w:szCs w:val="20"/>
        </w:rPr>
        <w:t>extractives</w:t>
      </w:r>
      <w:r w:rsidRPr="00287C1F">
        <w:rPr>
          <w:rFonts w:ascii="Kohinoor Devanagari" w:hAnsi="Kohinoor Devanagari" w:cs="Kohinoor Devanagari"/>
          <w:color w:val="000000" w:themeColor="text1"/>
          <w:sz w:val="20"/>
          <w:szCs w:val="20"/>
        </w:rPr>
        <w:t xml:space="preserve"> :</w:t>
      </w:r>
      <w:r w:rsidR="001E5958" w:rsidRPr="00287C1F">
        <w:rPr>
          <w:rFonts w:ascii="Kohinoor Devanagari" w:hAnsi="Kohinoor Devanagari" w:cs="Kohinoor Devanagari"/>
          <w:color w:val="000000" w:themeColor="text1"/>
          <w:sz w:val="20"/>
          <w:szCs w:val="20"/>
        </w:rPr>
        <w:t xml:space="preserve"> </w:t>
      </w:r>
      <w:r w:rsidRPr="00287C1F">
        <w:rPr>
          <w:rFonts w:ascii="Kohinoor Devanagari" w:hAnsi="Kohinoor Devanagari" w:cs="Kohinoor Devanagari"/>
          <w:color w:val="000000" w:themeColor="text1"/>
          <w:sz w:val="20"/>
          <w:szCs w:val="20"/>
        </w:rPr>
        <w:t xml:space="preserve">Sociétés opérant dans </w:t>
      </w:r>
      <w:r w:rsidR="006322D1" w:rsidRPr="00287C1F">
        <w:rPr>
          <w:rFonts w:ascii="Kohinoor Devanagari" w:hAnsi="Kohinoor Devanagari" w:cs="Kohinoor Devanagari"/>
          <w:color w:val="000000" w:themeColor="text1"/>
          <w:sz w:val="20"/>
          <w:szCs w:val="20"/>
        </w:rPr>
        <w:t>le secteur des ressources naturelles</w:t>
      </w:r>
      <w:r w:rsidRPr="00287C1F">
        <w:rPr>
          <w:rFonts w:ascii="Kohinoor Devanagari" w:hAnsi="Kohinoor Devanagari" w:cs="Kohinoor Devanagari"/>
          <w:color w:val="000000" w:themeColor="text1"/>
          <w:sz w:val="20"/>
          <w:szCs w:val="20"/>
        </w:rPr>
        <w:t xml:space="preserve"> pour obtenir des informations sur les pratiques de déclaration et de divulgation.</w:t>
      </w:r>
    </w:p>
    <w:p w14:paraId="3DE56634" w14:textId="12CE1ABB" w:rsidR="00FA0557" w:rsidRPr="00287C1F" w:rsidRDefault="005E792A" w:rsidP="00EF69ED">
      <w:pPr>
        <w:numPr>
          <w:ilvl w:val="0"/>
          <w:numId w:val="4"/>
        </w:numPr>
        <w:spacing w:before="120" w:after="120" w:line="240" w:lineRule="auto"/>
        <w:ind w:left="714" w:hanging="357"/>
        <w:jc w:val="both"/>
        <w:rPr>
          <w:rFonts w:ascii="Kohinoor Devanagari" w:hAnsi="Kohinoor Devanagari" w:cs="Kohinoor Devanagari"/>
          <w:color w:val="000000" w:themeColor="text1"/>
          <w:sz w:val="20"/>
          <w:szCs w:val="20"/>
        </w:rPr>
      </w:pPr>
      <w:r w:rsidRPr="00287C1F">
        <w:rPr>
          <w:rStyle w:val="lev"/>
          <w:rFonts w:ascii="Kohinoor Devanagari" w:hAnsi="Kohinoor Devanagari" w:cs="Kohinoor Devanagari"/>
          <w:color w:val="000000" w:themeColor="text1"/>
          <w:sz w:val="20"/>
          <w:szCs w:val="20"/>
        </w:rPr>
        <w:t>Organisations de la Société Civile</w:t>
      </w:r>
      <w:r w:rsidRPr="00287C1F">
        <w:rPr>
          <w:rFonts w:ascii="Kohinoor Devanagari" w:hAnsi="Kohinoor Devanagari" w:cs="Kohinoor Devanagari"/>
          <w:color w:val="000000" w:themeColor="text1"/>
          <w:sz w:val="20"/>
          <w:szCs w:val="20"/>
        </w:rPr>
        <w:t xml:space="preserve"> : Groupes et ONG travaillant sur les questions de transparence, de gouvernance et de droits dans le secteur </w:t>
      </w:r>
      <w:r w:rsidR="00112BAC" w:rsidRPr="00287C1F">
        <w:rPr>
          <w:rFonts w:ascii="Kohinoor Devanagari" w:hAnsi="Kohinoor Devanagari" w:cs="Kohinoor Devanagari"/>
          <w:color w:val="000000" w:themeColor="text1"/>
          <w:sz w:val="20"/>
          <w:szCs w:val="20"/>
        </w:rPr>
        <w:t>des ressources naturelles</w:t>
      </w:r>
      <w:r w:rsidRPr="00287C1F">
        <w:rPr>
          <w:rFonts w:ascii="Kohinoor Devanagari" w:hAnsi="Kohinoor Devanagari" w:cs="Kohinoor Devanagari"/>
          <w:color w:val="000000" w:themeColor="text1"/>
          <w:sz w:val="20"/>
          <w:szCs w:val="20"/>
        </w:rPr>
        <w:t>.</w:t>
      </w:r>
    </w:p>
    <w:p w14:paraId="42CC18BB" w14:textId="2C625BEA" w:rsidR="00D073FF" w:rsidRPr="00287C1F" w:rsidRDefault="00D073FF" w:rsidP="001059BE">
      <w:pPr>
        <w:pStyle w:val="Paragraphedeliste"/>
        <w:numPr>
          <w:ilvl w:val="0"/>
          <w:numId w:val="6"/>
        </w:numPr>
        <w:rPr>
          <w:rFonts w:ascii="Kohinoor Devanagari" w:hAnsi="Kohinoor Devanagari" w:cs="Kohinoor Devanagari"/>
          <w:b/>
          <w:bCs/>
          <w:sz w:val="20"/>
          <w:szCs w:val="20"/>
        </w:rPr>
      </w:pPr>
      <w:r w:rsidRPr="00287C1F">
        <w:rPr>
          <w:rFonts w:ascii="Kohinoor Devanagari" w:hAnsi="Kohinoor Devanagari" w:cs="Kohinoor Devanagari"/>
          <w:b/>
          <w:bCs/>
          <w:sz w:val="20"/>
          <w:szCs w:val="20"/>
        </w:rPr>
        <w:t>Structures Consultées et Participation au Questionnaire</w:t>
      </w:r>
    </w:p>
    <w:p w14:paraId="2ADDA077" w14:textId="77777777" w:rsidR="00D073FF" w:rsidRPr="00287C1F" w:rsidRDefault="00D073FF" w:rsidP="00F81F46">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287C1F">
        <w:rPr>
          <w:rFonts w:ascii="Kohinoor Devanagari" w:eastAsia="Times New Roman" w:hAnsi="Kohinoor Devanagari" w:cs="Kohinoor Devanagari"/>
          <w:color w:val="000000" w:themeColor="text1"/>
          <w:kern w:val="0"/>
          <w:sz w:val="20"/>
          <w:szCs w:val="20"/>
          <w:lang w:eastAsia="fr-FR"/>
          <w14:ligatures w14:val="none"/>
        </w:rPr>
        <w:t>Parmi ces parties prenantes, les suivantes ont été effectivement consultées et/ou ont répondu au questionnaire :</w:t>
      </w:r>
    </w:p>
    <w:tbl>
      <w:tblPr>
        <w:tblW w:w="4922" w:type="pct"/>
        <w:tblCellMar>
          <w:left w:w="0" w:type="dxa"/>
          <w:right w:w="0" w:type="dxa"/>
        </w:tblCellMar>
        <w:tblLook w:val="0600" w:firstRow="0" w:lastRow="0" w:firstColumn="0" w:lastColumn="0" w:noHBand="1" w:noVBand="1"/>
      </w:tblPr>
      <w:tblGrid>
        <w:gridCol w:w="8930"/>
      </w:tblGrid>
      <w:tr w:rsidR="00287C1F" w:rsidRPr="009B3188" w14:paraId="449C2D20" w14:textId="77777777" w:rsidTr="00287C1F">
        <w:trPr>
          <w:trHeight w:val="669"/>
          <w:tblHeader/>
        </w:trPr>
        <w:tc>
          <w:tcPr>
            <w:tcW w:w="5000" w:type="pct"/>
            <w:tcBorders>
              <w:top w:val="nil"/>
              <w:left w:val="nil"/>
              <w:bottom w:val="nil"/>
              <w:right w:val="nil"/>
            </w:tcBorders>
            <w:shd w:val="clear" w:color="auto" w:fill="47626F"/>
            <w:tcMar>
              <w:top w:w="3" w:type="dxa"/>
              <w:left w:w="3" w:type="dxa"/>
              <w:bottom w:w="0" w:type="dxa"/>
              <w:right w:w="3" w:type="dxa"/>
            </w:tcMar>
            <w:vAlign w:val="center"/>
            <w:hideMark/>
          </w:tcPr>
          <w:p w14:paraId="0ECC3154" w14:textId="1A288E72" w:rsidR="00287C1F" w:rsidRPr="009B3188" w:rsidRDefault="00287C1F" w:rsidP="00B44DF9">
            <w:pPr>
              <w:spacing w:after="0" w:line="240" w:lineRule="auto"/>
              <w:jc w:val="center"/>
              <w:rPr>
                <w:rFonts w:ascii="Kohinoor Devanagari" w:eastAsia="Times New Roman" w:hAnsi="Kohinoor Devanagari" w:cs="Kohinoor Devanagari"/>
                <w:color w:val="FFFFFF" w:themeColor="background1"/>
                <w:kern w:val="0"/>
                <w:sz w:val="20"/>
                <w:szCs w:val="20"/>
                <w:lang w:eastAsia="fr-FR"/>
                <w14:ligatures w14:val="none"/>
              </w:rPr>
            </w:pPr>
            <w:r w:rsidRPr="009B3188">
              <w:rPr>
                <w:rFonts w:ascii="Kohinoor Devanagari" w:hAnsi="Kohinoor Devanagari" w:cs="Kohinoor Devanagari"/>
                <w:b/>
                <w:bCs/>
                <w:color w:val="FFFFFF"/>
                <w:sz w:val="20"/>
                <w:szCs w:val="20"/>
              </w:rPr>
              <w:t>Parties prenantes</w:t>
            </w:r>
          </w:p>
        </w:tc>
      </w:tr>
      <w:tr w:rsidR="00287C1F" w:rsidRPr="009B3188" w14:paraId="599A9889"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hideMark/>
          </w:tcPr>
          <w:p w14:paraId="6D45578D" w14:textId="28E18D21"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b/>
                <w:bCs/>
                <w:color w:val="FFFFFF"/>
                <w:sz w:val="20"/>
                <w:szCs w:val="20"/>
              </w:rPr>
              <w:t>Ministère des finances</w:t>
            </w:r>
          </w:p>
        </w:tc>
      </w:tr>
      <w:tr w:rsidR="00287C1F" w:rsidRPr="009B3188" w14:paraId="2627A3D5"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1ADAB449" w14:textId="0EB1D343"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Direction Générale des Impôts (DGI/DGE)</w:t>
            </w:r>
          </w:p>
        </w:tc>
      </w:tr>
      <w:tr w:rsidR="00287C1F" w:rsidRPr="009B3188" w14:paraId="2F1263E7"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59C4FA6B" w14:textId="2BBE2FAB"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Direction Générale du Trésor, de la Coopération Financière et Monétaire (DGTCFM)</w:t>
            </w:r>
          </w:p>
        </w:tc>
      </w:tr>
      <w:tr w:rsidR="00287C1F" w:rsidRPr="009B3188" w14:paraId="1219A72A"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6F8F6F6E" w14:textId="2B3D2072"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Direction Générale des Douanes (DGD)</w:t>
            </w:r>
          </w:p>
        </w:tc>
      </w:tr>
      <w:tr w:rsidR="00287C1F" w:rsidRPr="009B3188" w14:paraId="29792FC7"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7D2EA529" w14:textId="692F0ABB"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Direction Générale du Budget (DGB)</w:t>
            </w:r>
          </w:p>
        </w:tc>
      </w:tr>
      <w:tr w:rsidR="00287C1F" w:rsidRPr="009B3188" w14:paraId="1F114397"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hideMark/>
          </w:tcPr>
          <w:p w14:paraId="292AA911" w14:textId="70DACBC1" w:rsidR="00287C1F" w:rsidRPr="009B3188" w:rsidRDefault="00287C1F" w:rsidP="00EC756A">
            <w:pPr>
              <w:spacing w:after="0" w:line="240" w:lineRule="auto"/>
              <w:jc w:val="both"/>
              <w:rPr>
                <w:rFonts w:ascii="Kohinoor Devanagari" w:eastAsia="Times New Roman" w:hAnsi="Kohinoor Devanagari" w:cs="Kohinoor Devanagari"/>
                <w:color w:val="FFFFFF" w:themeColor="background1"/>
                <w:kern w:val="0"/>
                <w:sz w:val="20"/>
                <w:szCs w:val="20"/>
                <w:lang w:eastAsia="fr-FR"/>
                <w14:ligatures w14:val="none"/>
              </w:rPr>
            </w:pPr>
            <w:r w:rsidRPr="009B3188">
              <w:rPr>
                <w:rFonts w:ascii="Kohinoor Devanagari" w:hAnsi="Kohinoor Devanagari" w:cs="Kohinoor Devanagari"/>
                <w:b/>
                <w:bCs/>
                <w:color w:val="FFFFFF"/>
                <w:sz w:val="20"/>
                <w:szCs w:val="20"/>
              </w:rPr>
              <w:t xml:space="preserve"> Ministère des Mines, de l'Industrie et du Développement Technologique (MINMIDT)</w:t>
            </w:r>
          </w:p>
        </w:tc>
      </w:tr>
      <w:tr w:rsidR="00287C1F" w:rsidRPr="009B3188" w14:paraId="583B16C4"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745AB538" w14:textId="75D60FED"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Sous-Direction du Cadastre Minier</w:t>
            </w:r>
          </w:p>
        </w:tc>
      </w:tr>
      <w:tr w:rsidR="00287C1F" w:rsidRPr="009B3188" w14:paraId="733F862F"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6DE542BA" w14:textId="7ADA5CE9"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Sous-Direction des activités Minières</w:t>
            </w:r>
          </w:p>
        </w:tc>
      </w:tr>
      <w:tr w:rsidR="00287C1F" w:rsidRPr="009B3188" w14:paraId="1EDA6605"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670BBD05" w14:textId="0A687E19"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Sous-Direction des Hydrocarbures</w:t>
            </w:r>
          </w:p>
        </w:tc>
      </w:tr>
      <w:tr w:rsidR="00287C1F" w:rsidRPr="009B3188" w14:paraId="12B7CF8B" w14:textId="77777777" w:rsidTr="00287C1F">
        <w:trPr>
          <w:trHeight w:val="284"/>
        </w:trPr>
        <w:tc>
          <w:tcPr>
            <w:tcW w:w="5000" w:type="pct"/>
            <w:tcBorders>
              <w:top w:val="single" w:sz="8" w:space="0" w:color="61BC4D"/>
              <w:left w:val="nil"/>
              <w:bottom w:val="single" w:sz="8" w:space="0" w:color="61BC4D"/>
              <w:right w:val="nil"/>
            </w:tcBorders>
            <w:tcMar>
              <w:top w:w="3" w:type="dxa"/>
              <w:left w:w="3" w:type="dxa"/>
              <w:bottom w:w="0" w:type="dxa"/>
              <w:right w:w="3" w:type="dxa"/>
            </w:tcMar>
            <w:vAlign w:val="center"/>
            <w:hideMark/>
          </w:tcPr>
          <w:p w14:paraId="3B888351" w14:textId="58BB632A"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lastRenderedPageBreak/>
              <w:t>Direction de la Géologie/ Sous-Direction de la prospection géologique</w:t>
            </w:r>
          </w:p>
        </w:tc>
      </w:tr>
      <w:tr w:rsidR="00287C1F" w:rsidRPr="009B3188" w14:paraId="727C7AAF"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hideMark/>
          </w:tcPr>
          <w:p w14:paraId="30A1C0F8" w14:textId="5EDF48D8" w:rsidR="00287C1F" w:rsidRPr="009B3188" w:rsidRDefault="00287C1F" w:rsidP="00EC756A">
            <w:pPr>
              <w:spacing w:after="0" w:line="240" w:lineRule="auto"/>
              <w:jc w:val="both"/>
              <w:rPr>
                <w:rFonts w:ascii="Kohinoor Devanagari" w:eastAsia="Times New Roman" w:hAnsi="Kohinoor Devanagari" w:cs="Kohinoor Devanagari"/>
                <w:color w:val="FFFFFF" w:themeColor="background1"/>
                <w:kern w:val="0"/>
                <w:sz w:val="20"/>
                <w:szCs w:val="20"/>
                <w:lang w:eastAsia="fr-FR"/>
                <w14:ligatures w14:val="none"/>
              </w:rPr>
            </w:pPr>
            <w:r w:rsidRPr="009B3188">
              <w:rPr>
                <w:rFonts w:ascii="Kohinoor Devanagari" w:hAnsi="Kohinoor Devanagari" w:cs="Kohinoor Devanagari"/>
                <w:b/>
                <w:bCs/>
                <w:color w:val="FFFFFF"/>
                <w:sz w:val="20"/>
                <w:szCs w:val="20"/>
              </w:rPr>
              <w:t>Ministère de l'Environnement, de la Protection de la nature et du Développement Durable (MINEPDED)</w:t>
            </w:r>
          </w:p>
        </w:tc>
      </w:tr>
      <w:tr w:rsidR="00287C1F" w:rsidRPr="009B3188" w14:paraId="0093CE93"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hideMark/>
          </w:tcPr>
          <w:p w14:paraId="2C7B7081" w14:textId="414AF583"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Direction des Affaires Générales/ Sous-Direction des Recettes Environnementales</w:t>
            </w:r>
          </w:p>
        </w:tc>
      </w:tr>
      <w:tr w:rsidR="00287C1F" w:rsidRPr="009B3188" w14:paraId="4E4F9C5C"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tcPr>
          <w:p w14:paraId="0E799DB4" w14:textId="07099623"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b/>
                <w:bCs/>
                <w:color w:val="FFFFFF"/>
                <w:sz w:val="20"/>
                <w:szCs w:val="20"/>
              </w:rPr>
              <w:t>Entreprises Publiques</w:t>
            </w:r>
          </w:p>
        </w:tc>
      </w:tr>
      <w:tr w:rsidR="00287C1F" w:rsidRPr="009B3188" w14:paraId="5BED6091"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tcPr>
          <w:p w14:paraId="668097DF" w14:textId="2047A601" w:rsidR="00287C1F" w:rsidRPr="009B3188" w:rsidRDefault="00287C1F" w:rsidP="00EC756A">
            <w:pPr>
              <w:spacing w:after="0" w:line="240" w:lineRule="auto"/>
              <w:jc w:val="both"/>
              <w:rPr>
                <w:rFonts w:ascii="Kohinoor Devanagari" w:eastAsia="Times New Roman" w:hAnsi="Kohinoor Devanagari" w:cs="Kohinoor Devanagari"/>
                <w:color w:val="FFFFFF" w:themeColor="background1"/>
                <w:kern w:val="0"/>
                <w:sz w:val="20"/>
                <w:szCs w:val="20"/>
                <w:lang w:eastAsia="fr-FR"/>
                <w14:ligatures w14:val="none"/>
              </w:rPr>
            </w:pPr>
            <w:r w:rsidRPr="009B3188">
              <w:rPr>
                <w:rFonts w:ascii="Kohinoor Devanagari" w:hAnsi="Kohinoor Devanagari" w:cs="Kohinoor Devanagari"/>
                <w:color w:val="000000"/>
                <w:sz w:val="20"/>
                <w:szCs w:val="20"/>
              </w:rPr>
              <w:t>SNH</w:t>
            </w:r>
          </w:p>
        </w:tc>
      </w:tr>
      <w:tr w:rsidR="00287C1F" w:rsidRPr="009B3188" w14:paraId="08BB83A0"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tcPr>
          <w:p w14:paraId="0CC3BAB3" w14:textId="0C8C0EF4"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color w:val="000000"/>
                <w:sz w:val="20"/>
                <w:szCs w:val="20"/>
              </w:rPr>
              <w:t>SNI</w:t>
            </w:r>
          </w:p>
        </w:tc>
      </w:tr>
      <w:tr w:rsidR="00287C1F" w:rsidRPr="009B3188" w14:paraId="64056831" w14:textId="77777777" w:rsidTr="00287C1F">
        <w:trPr>
          <w:trHeight w:val="284"/>
        </w:trPr>
        <w:tc>
          <w:tcPr>
            <w:tcW w:w="5000" w:type="pct"/>
            <w:tcBorders>
              <w:top w:val="nil"/>
              <w:left w:val="nil"/>
              <w:bottom w:val="nil"/>
              <w:right w:val="nil"/>
            </w:tcBorders>
            <w:tcMar>
              <w:top w:w="3" w:type="dxa"/>
              <w:left w:w="3" w:type="dxa"/>
              <w:bottom w:w="0" w:type="dxa"/>
              <w:right w:w="3" w:type="dxa"/>
            </w:tcMar>
            <w:vAlign w:val="center"/>
          </w:tcPr>
          <w:p w14:paraId="448B3331" w14:textId="615E3796" w:rsidR="00287C1F" w:rsidRPr="009B3188" w:rsidRDefault="00287C1F" w:rsidP="00EC756A">
            <w:pPr>
              <w:spacing w:after="0" w:line="240" w:lineRule="auto"/>
              <w:jc w:val="both"/>
              <w:rPr>
                <w:rFonts w:ascii="Kohinoor Devanagari" w:hAnsi="Kohinoor Devanagari" w:cs="Kohinoor Devanagari"/>
                <w:b/>
                <w:bCs/>
                <w:color w:val="FFFFFF" w:themeColor="background1"/>
                <w:kern w:val="24"/>
                <w:sz w:val="20"/>
                <w:szCs w:val="20"/>
              </w:rPr>
            </w:pPr>
            <w:r w:rsidRPr="009B3188">
              <w:rPr>
                <w:rFonts w:ascii="Kohinoor Devanagari" w:hAnsi="Kohinoor Devanagari" w:cs="Kohinoor Devanagari"/>
                <w:color w:val="000000"/>
                <w:sz w:val="20"/>
                <w:szCs w:val="20"/>
              </w:rPr>
              <w:t>SONAMINES</w:t>
            </w:r>
          </w:p>
        </w:tc>
      </w:tr>
      <w:tr w:rsidR="00287C1F" w:rsidRPr="009B3188" w14:paraId="2D3DD463"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tcPr>
          <w:p w14:paraId="24905AF4" w14:textId="44790DD2" w:rsidR="00287C1F" w:rsidRPr="009B3188" w:rsidRDefault="00287C1F" w:rsidP="00EC756A">
            <w:pPr>
              <w:spacing w:after="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9B3188">
              <w:rPr>
                <w:rFonts w:ascii="Kohinoor Devanagari" w:hAnsi="Kohinoor Devanagari" w:cs="Kohinoor Devanagari"/>
                <w:b/>
                <w:bCs/>
                <w:color w:val="FFFFFF"/>
                <w:sz w:val="20"/>
                <w:szCs w:val="20"/>
              </w:rPr>
              <w:t>Ministère de l'Économie, de la Planification et de l'Aménagement du Territoire (MINEPAT)</w:t>
            </w:r>
          </w:p>
        </w:tc>
      </w:tr>
      <w:tr w:rsidR="00287C1F" w:rsidRPr="009B3188" w14:paraId="578FB5B6"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tcPr>
          <w:p w14:paraId="10D10A95" w14:textId="7BE841D6" w:rsidR="00287C1F" w:rsidRPr="009B3188" w:rsidRDefault="00287C1F" w:rsidP="00EC756A">
            <w:pPr>
              <w:spacing w:after="0" w:line="240" w:lineRule="auto"/>
              <w:jc w:val="both"/>
              <w:rPr>
                <w:rFonts w:ascii="Kohinoor Devanagari" w:hAnsi="Kohinoor Devanagari" w:cs="Kohinoor Devanagari"/>
                <w:color w:val="000000" w:themeColor="text1"/>
                <w:kern w:val="24"/>
                <w:sz w:val="20"/>
                <w:szCs w:val="20"/>
              </w:rPr>
            </w:pPr>
            <w:r w:rsidRPr="009B3188">
              <w:rPr>
                <w:rFonts w:ascii="Kohinoor Devanagari" w:hAnsi="Kohinoor Devanagari" w:cs="Kohinoor Devanagari"/>
                <w:color w:val="202124"/>
                <w:sz w:val="20"/>
                <w:szCs w:val="20"/>
              </w:rPr>
              <w:t>Institut National de la Statistique (INS)</w:t>
            </w:r>
          </w:p>
        </w:tc>
      </w:tr>
      <w:tr w:rsidR="00287C1F" w:rsidRPr="009B3188" w14:paraId="7286A303" w14:textId="77777777" w:rsidTr="00287C1F">
        <w:trPr>
          <w:trHeight w:val="284"/>
        </w:trPr>
        <w:tc>
          <w:tcPr>
            <w:tcW w:w="5000" w:type="pct"/>
            <w:tcBorders>
              <w:top w:val="nil"/>
              <w:left w:val="nil"/>
              <w:bottom w:val="nil"/>
              <w:right w:val="nil"/>
            </w:tcBorders>
            <w:tcMar>
              <w:top w:w="3" w:type="dxa"/>
              <w:left w:w="3" w:type="dxa"/>
              <w:bottom w:w="0" w:type="dxa"/>
              <w:right w:w="3" w:type="dxa"/>
            </w:tcMar>
            <w:vAlign w:val="center"/>
          </w:tcPr>
          <w:p w14:paraId="0A604120" w14:textId="692F123F" w:rsidR="00287C1F" w:rsidRPr="009B3188" w:rsidRDefault="00287C1F" w:rsidP="00EC756A">
            <w:pPr>
              <w:spacing w:after="0" w:line="240" w:lineRule="auto"/>
              <w:jc w:val="both"/>
              <w:rPr>
                <w:rFonts w:ascii="Kohinoor Devanagari" w:hAnsi="Kohinoor Devanagari" w:cs="Kohinoor Devanagari"/>
                <w:color w:val="000000" w:themeColor="text1"/>
                <w:kern w:val="24"/>
                <w:sz w:val="20"/>
                <w:szCs w:val="20"/>
              </w:rPr>
            </w:pPr>
            <w:r w:rsidRPr="009B3188">
              <w:rPr>
                <w:rFonts w:ascii="Kohinoor Devanagari" w:hAnsi="Kohinoor Devanagari" w:cs="Kohinoor Devanagari"/>
                <w:color w:val="202124"/>
                <w:sz w:val="20"/>
                <w:szCs w:val="20"/>
              </w:rPr>
              <w:t>Comité Technique de Suivi des Programmes Economiques (CTS)</w:t>
            </w:r>
          </w:p>
        </w:tc>
      </w:tr>
      <w:tr w:rsidR="00287C1F" w:rsidRPr="009B3188" w14:paraId="139C1A56"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tcPr>
          <w:p w14:paraId="7FF79087" w14:textId="18FB01DA" w:rsidR="00287C1F" w:rsidRPr="009B3188" w:rsidRDefault="00287C1F" w:rsidP="00EC756A">
            <w:pPr>
              <w:spacing w:after="0" w:line="240" w:lineRule="auto"/>
              <w:jc w:val="both"/>
              <w:rPr>
                <w:rFonts w:ascii="Kohinoor Devanagari" w:hAnsi="Kohinoor Devanagari" w:cs="Kohinoor Devanagari"/>
                <w:color w:val="000000" w:themeColor="text1"/>
                <w:kern w:val="24"/>
                <w:sz w:val="20"/>
                <w:szCs w:val="20"/>
              </w:rPr>
            </w:pPr>
            <w:r w:rsidRPr="009B3188">
              <w:rPr>
                <w:rFonts w:ascii="Kohinoor Devanagari" w:hAnsi="Kohinoor Devanagari" w:cs="Kohinoor Devanagari"/>
                <w:b/>
                <w:bCs/>
                <w:color w:val="FFFFFF"/>
                <w:sz w:val="20"/>
                <w:szCs w:val="20"/>
              </w:rPr>
              <w:t>Ministère de la justice (MINJUSTICE)</w:t>
            </w:r>
          </w:p>
        </w:tc>
      </w:tr>
      <w:tr w:rsidR="00287C1F" w:rsidRPr="009B3188" w14:paraId="40B5E8A1" w14:textId="77777777" w:rsidTr="00287C1F">
        <w:trPr>
          <w:trHeight w:val="284"/>
        </w:trPr>
        <w:tc>
          <w:tcPr>
            <w:tcW w:w="5000" w:type="pct"/>
            <w:tcBorders>
              <w:top w:val="nil"/>
              <w:left w:val="nil"/>
              <w:bottom w:val="single" w:sz="8" w:space="0" w:color="61BC4D"/>
              <w:right w:val="nil"/>
            </w:tcBorders>
            <w:tcMar>
              <w:top w:w="3" w:type="dxa"/>
              <w:left w:w="3" w:type="dxa"/>
              <w:bottom w:w="0" w:type="dxa"/>
              <w:right w:w="3" w:type="dxa"/>
            </w:tcMar>
            <w:vAlign w:val="center"/>
          </w:tcPr>
          <w:p w14:paraId="3F790383" w14:textId="7C338F7C" w:rsidR="00287C1F" w:rsidRPr="009B3188" w:rsidRDefault="00287C1F" w:rsidP="00EC756A">
            <w:pPr>
              <w:spacing w:after="0" w:line="240" w:lineRule="auto"/>
              <w:jc w:val="both"/>
              <w:rPr>
                <w:rFonts w:ascii="Kohinoor Devanagari" w:hAnsi="Kohinoor Devanagari" w:cs="Kohinoor Devanagari"/>
                <w:color w:val="000000" w:themeColor="text1"/>
                <w:kern w:val="24"/>
                <w:sz w:val="20"/>
                <w:szCs w:val="20"/>
              </w:rPr>
            </w:pPr>
            <w:r w:rsidRPr="009B3188">
              <w:rPr>
                <w:rFonts w:ascii="Kohinoor Devanagari" w:hAnsi="Kohinoor Devanagari" w:cs="Kohinoor Devanagari"/>
                <w:color w:val="000000"/>
                <w:sz w:val="20"/>
                <w:szCs w:val="20"/>
              </w:rPr>
              <w:t>RCCM</w:t>
            </w:r>
          </w:p>
        </w:tc>
      </w:tr>
      <w:tr w:rsidR="00287C1F" w:rsidRPr="009B3188" w14:paraId="412AA08F" w14:textId="77777777" w:rsidTr="00287C1F">
        <w:trPr>
          <w:trHeight w:val="284"/>
        </w:trPr>
        <w:tc>
          <w:tcPr>
            <w:tcW w:w="5000" w:type="pct"/>
            <w:tcBorders>
              <w:top w:val="nil"/>
              <w:left w:val="nil"/>
              <w:bottom w:val="nil"/>
              <w:right w:val="nil"/>
            </w:tcBorders>
            <w:shd w:val="clear" w:color="000000" w:fill="61BC4D"/>
            <w:tcMar>
              <w:top w:w="3" w:type="dxa"/>
              <w:left w:w="3" w:type="dxa"/>
              <w:bottom w:w="0" w:type="dxa"/>
              <w:right w:w="3" w:type="dxa"/>
            </w:tcMar>
            <w:vAlign w:val="center"/>
          </w:tcPr>
          <w:p w14:paraId="5A0483E8" w14:textId="31285D33" w:rsidR="00287C1F" w:rsidRPr="009B3188" w:rsidRDefault="00287C1F" w:rsidP="00EC756A">
            <w:pPr>
              <w:spacing w:after="0" w:line="240" w:lineRule="auto"/>
              <w:jc w:val="both"/>
              <w:rPr>
                <w:rFonts w:ascii="Kohinoor Devanagari" w:hAnsi="Kohinoor Devanagari" w:cs="Kohinoor Devanagari"/>
                <w:b/>
                <w:bCs/>
                <w:color w:val="FFFFFF" w:themeColor="background1"/>
                <w:kern w:val="24"/>
                <w:sz w:val="20"/>
                <w:szCs w:val="20"/>
              </w:rPr>
            </w:pPr>
            <w:r w:rsidRPr="009B3188">
              <w:rPr>
                <w:rFonts w:ascii="Kohinoor Devanagari" w:hAnsi="Kohinoor Devanagari" w:cs="Kohinoor Devanagari"/>
                <w:b/>
                <w:bCs/>
                <w:color w:val="FFFFFF"/>
                <w:sz w:val="20"/>
                <w:szCs w:val="20"/>
              </w:rPr>
              <w:t>Comité ITIE</w:t>
            </w:r>
          </w:p>
        </w:tc>
      </w:tr>
      <w:tr w:rsidR="00287C1F" w:rsidRPr="009B3188" w14:paraId="3BF30BE7" w14:textId="77777777" w:rsidTr="00287C1F">
        <w:trPr>
          <w:trHeight w:val="284"/>
        </w:trPr>
        <w:tc>
          <w:tcPr>
            <w:tcW w:w="5000" w:type="pct"/>
            <w:tcBorders>
              <w:top w:val="nil"/>
              <w:left w:val="nil"/>
              <w:bottom w:val="nil"/>
              <w:right w:val="nil"/>
            </w:tcBorders>
            <w:tcMar>
              <w:top w:w="3" w:type="dxa"/>
              <w:left w:w="3" w:type="dxa"/>
              <w:bottom w:w="0" w:type="dxa"/>
              <w:right w:w="3" w:type="dxa"/>
            </w:tcMar>
            <w:vAlign w:val="center"/>
          </w:tcPr>
          <w:p w14:paraId="472B35BF" w14:textId="4981A2F5" w:rsidR="00287C1F" w:rsidRPr="009B3188" w:rsidRDefault="00287C1F" w:rsidP="00EC756A">
            <w:pPr>
              <w:spacing w:after="0" w:line="240" w:lineRule="auto"/>
              <w:jc w:val="both"/>
              <w:rPr>
                <w:rFonts w:ascii="Kohinoor Devanagari" w:hAnsi="Kohinoor Devanagari" w:cs="Kohinoor Devanagari"/>
                <w:sz w:val="20"/>
                <w:szCs w:val="20"/>
              </w:rPr>
            </w:pPr>
            <w:r w:rsidRPr="009B3188">
              <w:rPr>
                <w:rFonts w:ascii="Kohinoor Devanagari" w:hAnsi="Kohinoor Devanagari" w:cs="Kohinoor Devanagari"/>
                <w:sz w:val="20"/>
                <w:szCs w:val="20"/>
              </w:rPr>
              <w:t>Collège de la Société Civile</w:t>
            </w:r>
          </w:p>
        </w:tc>
      </w:tr>
    </w:tbl>
    <w:p w14:paraId="2331B384" w14:textId="3C6C7C46" w:rsidR="00E019D7" w:rsidRPr="003E43F7" w:rsidRDefault="00E019D7" w:rsidP="001059BE">
      <w:pPr>
        <w:pStyle w:val="Titre2"/>
        <w:numPr>
          <w:ilvl w:val="1"/>
          <w:numId w:val="8"/>
        </w:numPr>
        <w:spacing w:before="180" w:after="180"/>
        <w:ind w:left="850" w:hanging="493"/>
        <w:rPr>
          <w:rFonts w:ascii="Kohinoor Devanagari" w:eastAsia="Times New Roman" w:hAnsi="Kohinoor Devanagari" w:cs="Kohinoor Devanagari"/>
          <w:b/>
          <w:bCs/>
          <w:color w:val="000000" w:themeColor="text1"/>
          <w:sz w:val="20"/>
          <w:szCs w:val="20"/>
          <w:lang w:eastAsia="fr-FR"/>
        </w:rPr>
      </w:pPr>
      <w:bookmarkStart w:id="6" w:name="_Toc164327747"/>
      <w:bookmarkStart w:id="7" w:name="_Toc164327899"/>
      <w:bookmarkStart w:id="8" w:name="_Toc164328023"/>
      <w:bookmarkStart w:id="9" w:name="_Toc164328156"/>
      <w:bookmarkStart w:id="10" w:name="_Toc164339574"/>
      <w:bookmarkStart w:id="11" w:name="_Toc164340040"/>
      <w:bookmarkStart w:id="12" w:name="_Toc164327748"/>
      <w:bookmarkStart w:id="13" w:name="_Toc164327900"/>
      <w:bookmarkStart w:id="14" w:name="_Toc164328024"/>
      <w:bookmarkStart w:id="15" w:name="_Toc164328157"/>
      <w:bookmarkStart w:id="16" w:name="_Toc164339575"/>
      <w:bookmarkStart w:id="17" w:name="_Toc164340041"/>
      <w:bookmarkStart w:id="18" w:name="_Toc204691611"/>
      <w:bookmarkEnd w:id="6"/>
      <w:bookmarkEnd w:id="7"/>
      <w:bookmarkEnd w:id="8"/>
      <w:bookmarkEnd w:id="9"/>
      <w:bookmarkEnd w:id="10"/>
      <w:bookmarkEnd w:id="11"/>
      <w:bookmarkEnd w:id="12"/>
      <w:bookmarkEnd w:id="13"/>
      <w:bookmarkEnd w:id="14"/>
      <w:bookmarkEnd w:id="15"/>
      <w:bookmarkEnd w:id="16"/>
      <w:bookmarkEnd w:id="17"/>
      <w:r w:rsidRPr="003E43F7">
        <w:rPr>
          <w:rFonts w:ascii="Kohinoor Devanagari" w:eastAsia="Times New Roman" w:hAnsi="Kohinoor Devanagari" w:cs="Kohinoor Devanagari"/>
          <w:b/>
          <w:bCs/>
          <w:color w:val="000000" w:themeColor="text1"/>
          <w:sz w:val="20"/>
          <w:szCs w:val="20"/>
          <w:lang w:eastAsia="fr-FR"/>
        </w:rPr>
        <w:t>Limites de l'étude</w:t>
      </w:r>
      <w:bookmarkEnd w:id="18"/>
    </w:p>
    <w:p w14:paraId="5D09C7DF" w14:textId="794C2952" w:rsidR="003E43F7" w:rsidRPr="003E43F7" w:rsidRDefault="003E43F7" w:rsidP="003E43F7">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E43F7">
        <w:rPr>
          <w:rFonts w:ascii="Kohinoor Devanagari" w:eastAsia="Times New Roman" w:hAnsi="Kohinoor Devanagari" w:cs="Kohinoor Devanagari"/>
          <w:color w:val="000000" w:themeColor="text1"/>
          <w:kern w:val="0"/>
          <w:sz w:val="20"/>
          <w:szCs w:val="20"/>
          <w:lang w:eastAsia="fr-FR"/>
          <w14:ligatures w14:val="none"/>
        </w:rPr>
        <w:t xml:space="preserve">Malgré la rigueur méthodologique, certaines contraintes </w:t>
      </w:r>
      <w:r w:rsidR="00E17141">
        <w:rPr>
          <w:rFonts w:ascii="Kohinoor Devanagari" w:eastAsia="Times New Roman" w:hAnsi="Kohinoor Devanagari" w:cs="Kohinoor Devanagari"/>
          <w:color w:val="000000" w:themeColor="text1"/>
          <w:kern w:val="0"/>
          <w:sz w:val="20"/>
          <w:szCs w:val="20"/>
          <w:lang w:eastAsia="fr-FR"/>
          <w14:ligatures w14:val="none"/>
        </w:rPr>
        <w:t>peuvent</w:t>
      </w:r>
      <w:r w:rsidRPr="003E43F7">
        <w:rPr>
          <w:rFonts w:ascii="Kohinoor Devanagari" w:eastAsia="Times New Roman" w:hAnsi="Kohinoor Devanagari" w:cs="Kohinoor Devanagari"/>
          <w:color w:val="000000" w:themeColor="text1"/>
          <w:kern w:val="0"/>
          <w:sz w:val="20"/>
          <w:szCs w:val="20"/>
          <w:lang w:eastAsia="fr-FR"/>
          <w14:ligatures w14:val="none"/>
        </w:rPr>
        <w:t xml:space="preserve"> limit</w:t>
      </w:r>
      <w:r w:rsidR="00E17141">
        <w:rPr>
          <w:rFonts w:ascii="Kohinoor Devanagari" w:eastAsia="Times New Roman" w:hAnsi="Kohinoor Devanagari" w:cs="Kohinoor Devanagari"/>
          <w:color w:val="000000" w:themeColor="text1"/>
          <w:kern w:val="0"/>
          <w:sz w:val="20"/>
          <w:szCs w:val="20"/>
          <w:lang w:eastAsia="fr-FR"/>
          <w14:ligatures w14:val="none"/>
        </w:rPr>
        <w:t>er</w:t>
      </w:r>
      <w:r w:rsidRPr="003E43F7">
        <w:rPr>
          <w:rFonts w:ascii="Kohinoor Devanagari" w:eastAsia="Times New Roman" w:hAnsi="Kohinoor Devanagari" w:cs="Kohinoor Devanagari"/>
          <w:color w:val="000000" w:themeColor="text1"/>
          <w:kern w:val="0"/>
          <w:sz w:val="20"/>
          <w:szCs w:val="20"/>
          <w:lang w:eastAsia="fr-FR"/>
          <w14:ligatures w14:val="none"/>
        </w:rPr>
        <w:t xml:space="preserve"> la portée de l’analyse:</w:t>
      </w:r>
    </w:p>
    <w:p w14:paraId="1B01FDF3" w14:textId="77777777" w:rsidR="003E43F7" w:rsidRPr="003E43F7" w:rsidRDefault="003E43F7" w:rsidP="003E43F7">
      <w:pPr>
        <w:numPr>
          <w:ilvl w:val="0"/>
          <w:numId w:val="173"/>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E43F7">
        <w:rPr>
          <w:rFonts w:ascii="Kohinoor Devanagari" w:eastAsia="Times New Roman" w:hAnsi="Kohinoor Devanagari" w:cs="Kohinoor Devanagari"/>
          <w:b/>
          <w:bCs/>
          <w:color w:val="000000" w:themeColor="text1"/>
          <w:kern w:val="0"/>
          <w:sz w:val="20"/>
          <w:szCs w:val="20"/>
          <w:lang w:eastAsia="fr-FR"/>
          <w14:ligatures w14:val="none"/>
        </w:rPr>
        <w:t>Réponses incomplètes aux questionnaires :</w:t>
      </w:r>
      <w:r w:rsidRPr="003E43F7">
        <w:rPr>
          <w:rFonts w:ascii="Kohinoor Devanagari" w:eastAsia="Times New Roman" w:hAnsi="Kohinoor Devanagari" w:cs="Kohinoor Devanagari"/>
          <w:color w:val="000000" w:themeColor="text1"/>
          <w:kern w:val="0"/>
          <w:sz w:val="20"/>
          <w:szCs w:val="20"/>
          <w:lang w:eastAsia="fr-FR"/>
          <w14:ligatures w14:val="none"/>
        </w:rPr>
        <w:t xml:space="preserve"> Plusieurs structures n’ont pas retourné les formulaires ou l’ont fait partiellement, ce qui limite la représentativité statistique de certaines conclusions.</w:t>
      </w:r>
    </w:p>
    <w:p w14:paraId="38AA4920" w14:textId="09E86C13" w:rsidR="003E43F7" w:rsidRPr="003E43F7" w:rsidRDefault="003E43F7" w:rsidP="003E43F7">
      <w:pPr>
        <w:numPr>
          <w:ilvl w:val="0"/>
          <w:numId w:val="173"/>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E43F7">
        <w:rPr>
          <w:rFonts w:ascii="Kohinoor Devanagari" w:eastAsia="Times New Roman" w:hAnsi="Kohinoor Devanagari" w:cs="Kohinoor Devanagari"/>
          <w:b/>
          <w:bCs/>
          <w:color w:val="000000" w:themeColor="text1"/>
          <w:kern w:val="0"/>
          <w:sz w:val="20"/>
          <w:szCs w:val="20"/>
          <w:lang w:eastAsia="fr-FR"/>
          <w14:ligatures w14:val="none"/>
        </w:rPr>
        <w:t>Accès limité aux systèmes internes :</w:t>
      </w:r>
      <w:r w:rsidRPr="003E43F7">
        <w:rPr>
          <w:rFonts w:ascii="Kohinoor Devanagari" w:eastAsia="Times New Roman" w:hAnsi="Kohinoor Devanagari" w:cs="Kohinoor Devanagari"/>
          <w:color w:val="000000" w:themeColor="text1"/>
          <w:kern w:val="0"/>
          <w:sz w:val="20"/>
          <w:szCs w:val="20"/>
          <w:lang w:eastAsia="fr-FR"/>
          <w14:ligatures w14:val="none"/>
        </w:rPr>
        <w:t xml:space="preserve"> Faute d’accès direct aux plateformes internes (PATRIMONIE, CAMSIS</w:t>
      </w:r>
      <w:r w:rsidR="0095315F">
        <w:rPr>
          <w:rFonts w:ascii="Kohinoor Devanagari" w:eastAsia="Times New Roman" w:hAnsi="Kohinoor Devanagari" w:cs="Kohinoor Devanagari"/>
          <w:color w:val="000000" w:themeColor="text1"/>
          <w:kern w:val="0"/>
          <w:sz w:val="20"/>
          <w:szCs w:val="20"/>
          <w:lang w:eastAsia="fr-FR"/>
          <w14:ligatures w14:val="none"/>
        </w:rPr>
        <w:t>, Plateforme BE</w:t>
      </w:r>
      <w:r w:rsidRPr="003E43F7">
        <w:rPr>
          <w:rFonts w:ascii="Kohinoor Devanagari" w:eastAsia="Times New Roman" w:hAnsi="Kohinoor Devanagari" w:cs="Kohinoor Devanagari"/>
          <w:color w:val="000000" w:themeColor="text1"/>
          <w:kern w:val="0"/>
          <w:sz w:val="20"/>
          <w:szCs w:val="20"/>
          <w:lang w:eastAsia="fr-FR"/>
          <w14:ligatures w14:val="none"/>
        </w:rPr>
        <w:t xml:space="preserve">…), l’évaluation repose </w:t>
      </w:r>
      <w:r w:rsidR="00E84110">
        <w:rPr>
          <w:rFonts w:ascii="Kohinoor Devanagari" w:eastAsia="Times New Roman" w:hAnsi="Kohinoor Devanagari" w:cs="Kohinoor Devanagari"/>
          <w:color w:val="000000" w:themeColor="text1"/>
          <w:kern w:val="0"/>
          <w:sz w:val="20"/>
          <w:szCs w:val="20"/>
          <w:lang w:eastAsia="fr-FR"/>
          <w14:ligatures w14:val="none"/>
        </w:rPr>
        <w:t xml:space="preserve">sur les </w:t>
      </w:r>
      <w:r w:rsidR="0095315F">
        <w:rPr>
          <w:rFonts w:ascii="Kohinoor Devanagari" w:eastAsia="Times New Roman" w:hAnsi="Kohinoor Devanagari" w:cs="Kohinoor Devanagari"/>
          <w:color w:val="000000" w:themeColor="text1"/>
          <w:kern w:val="0"/>
          <w:sz w:val="20"/>
          <w:szCs w:val="20"/>
          <w:lang w:eastAsia="fr-FR"/>
          <w14:ligatures w14:val="none"/>
        </w:rPr>
        <w:t>entretiens</w:t>
      </w:r>
      <w:r w:rsidR="00E84110">
        <w:rPr>
          <w:rFonts w:ascii="Kohinoor Devanagari" w:eastAsia="Times New Roman" w:hAnsi="Kohinoor Devanagari" w:cs="Kohinoor Devanagari"/>
          <w:color w:val="000000" w:themeColor="text1"/>
          <w:kern w:val="0"/>
          <w:sz w:val="20"/>
          <w:szCs w:val="20"/>
          <w:lang w:eastAsia="fr-FR"/>
          <w14:ligatures w14:val="none"/>
        </w:rPr>
        <w:t xml:space="preserve"> et le point de vue des </w:t>
      </w:r>
      <w:r w:rsidR="0095315F">
        <w:rPr>
          <w:rFonts w:ascii="Kohinoor Devanagari" w:eastAsia="Times New Roman" w:hAnsi="Kohinoor Devanagari" w:cs="Kohinoor Devanagari"/>
          <w:color w:val="000000" w:themeColor="text1"/>
          <w:kern w:val="0"/>
          <w:sz w:val="20"/>
          <w:szCs w:val="20"/>
          <w:lang w:eastAsia="fr-FR"/>
          <w14:ligatures w14:val="none"/>
        </w:rPr>
        <w:t>points focaux rencontrés</w:t>
      </w:r>
      <w:r w:rsidRPr="003E43F7">
        <w:rPr>
          <w:rFonts w:ascii="Kohinoor Devanagari" w:eastAsia="Times New Roman" w:hAnsi="Kohinoor Devanagari" w:cs="Kohinoor Devanagari"/>
          <w:color w:val="000000" w:themeColor="text1"/>
          <w:kern w:val="0"/>
          <w:sz w:val="20"/>
          <w:szCs w:val="20"/>
          <w:lang w:eastAsia="fr-FR"/>
          <w14:ligatures w14:val="none"/>
        </w:rPr>
        <w:t>.</w:t>
      </w:r>
    </w:p>
    <w:p w14:paraId="77C4321B" w14:textId="77777777" w:rsidR="003E43F7" w:rsidRPr="003E43F7" w:rsidRDefault="003E43F7" w:rsidP="003E43F7">
      <w:pPr>
        <w:numPr>
          <w:ilvl w:val="0"/>
          <w:numId w:val="173"/>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3E43F7">
        <w:rPr>
          <w:rFonts w:ascii="Kohinoor Devanagari" w:eastAsia="Times New Roman" w:hAnsi="Kohinoor Devanagari" w:cs="Kohinoor Devanagari"/>
          <w:b/>
          <w:bCs/>
          <w:color w:val="000000" w:themeColor="text1"/>
          <w:kern w:val="0"/>
          <w:sz w:val="20"/>
          <w:szCs w:val="20"/>
          <w:lang w:eastAsia="fr-FR"/>
          <w14:ligatures w14:val="none"/>
        </w:rPr>
        <w:t>Manque d’indicateurs de performance disponibles :</w:t>
      </w:r>
      <w:r w:rsidRPr="003E43F7">
        <w:rPr>
          <w:rFonts w:ascii="Kohinoor Devanagari" w:eastAsia="Times New Roman" w:hAnsi="Kohinoor Devanagari" w:cs="Kohinoor Devanagari"/>
          <w:color w:val="000000" w:themeColor="text1"/>
          <w:kern w:val="0"/>
          <w:sz w:val="20"/>
          <w:szCs w:val="20"/>
          <w:lang w:eastAsia="fr-FR"/>
          <w14:ligatures w14:val="none"/>
        </w:rPr>
        <w:t xml:space="preserve"> Peu d’entités suivent des indicateurs spécifiques liés à la transparence ou à la digitalisation des données extractives.</w:t>
      </w:r>
    </w:p>
    <w:p w14:paraId="584BCCF2" w14:textId="77777777" w:rsidR="003E43F7" w:rsidRPr="003E43F7" w:rsidRDefault="003E43F7" w:rsidP="003E43F7">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p>
    <w:p w14:paraId="45CCF77F" w14:textId="77777777" w:rsidR="003E43F7" w:rsidRPr="003E43F7" w:rsidRDefault="003E43F7" w:rsidP="003E43F7">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p>
    <w:p w14:paraId="1C531F07" w14:textId="77777777" w:rsidR="003E43F7" w:rsidRPr="003E43F7" w:rsidRDefault="003E43F7" w:rsidP="003E43F7">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p>
    <w:p w14:paraId="36989E25" w14:textId="77777777" w:rsidR="003E43F7" w:rsidRDefault="003E43F7" w:rsidP="004F3B72">
      <w:pPr>
        <w:spacing w:after="300" w:line="240" w:lineRule="auto"/>
        <w:jc w:val="both"/>
        <w:rPr>
          <w:rFonts w:ascii="Kohinoor Devanagari" w:eastAsia="Times New Roman" w:hAnsi="Kohinoor Devanagari" w:cs="Kohinoor Devanagari"/>
          <w:color w:val="000000" w:themeColor="text1"/>
          <w:kern w:val="0"/>
          <w:lang w:eastAsia="fr-FR"/>
          <w14:ligatures w14:val="none"/>
        </w:rPr>
      </w:pPr>
    </w:p>
    <w:p w14:paraId="372B30C2" w14:textId="75143E89" w:rsidR="003E43F7" w:rsidRPr="009B3188" w:rsidRDefault="003E43F7" w:rsidP="004F3B72">
      <w:pPr>
        <w:spacing w:after="300" w:line="240" w:lineRule="auto"/>
        <w:jc w:val="both"/>
        <w:rPr>
          <w:rFonts w:ascii="Kohinoor Devanagari" w:eastAsia="Times New Roman" w:hAnsi="Kohinoor Devanagari" w:cs="Kohinoor Devanagari"/>
          <w:color w:val="000000" w:themeColor="text1"/>
          <w:kern w:val="0"/>
          <w:lang w:eastAsia="fr-FR"/>
          <w14:ligatures w14:val="none"/>
        </w:rPr>
        <w:sectPr w:rsidR="003E43F7" w:rsidRPr="009B3188" w:rsidSect="00405547">
          <w:headerReference w:type="default" r:id="rId19"/>
          <w:footerReference w:type="default" r:id="rId20"/>
          <w:pgSz w:w="11906" w:h="16838"/>
          <w:pgMar w:top="1417" w:right="1417" w:bottom="1417" w:left="1417" w:header="708" w:footer="708" w:gutter="0"/>
          <w:cols w:space="708"/>
          <w:docGrid w:linePitch="360"/>
        </w:sectPr>
      </w:pPr>
    </w:p>
    <w:p w14:paraId="03B46F85" w14:textId="297DAE25" w:rsidR="00C30D2B" w:rsidRPr="009B3188" w:rsidRDefault="00E019D7" w:rsidP="001059BE">
      <w:pPr>
        <w:pStyle w:val="Titre1"/>
        <w:numPr>
          <w:ilvl w:val="0"/>
          <w:numId w:val="8"/>
        </w:numPr>
        <w:shd w:val="clear" w:color="auto" w:fill="61BC4D"/>
        <w:spacing w:before="180" w:after="180"/>
        <w:ind w:left="357" w:hanging="357"/>
        <w:rPr>
          <w:rFonts w:ascii="Kohinoor Devanagari" w:hAnsi="Kohinoor Devanagari" w:cs="Kohinoor Devanagari"/>
          <w:b/>
          <w:bCs/>
          <w:color w:val="FFFFFF" w:themeColor="background1"/>
          <w:sz w:val="26"/>
          <w:szCs w:val="26"/>
        </w:rPr>
      </w:pPr>
      <w:bookmarkStart w:id="19" w:name="_Toc204691612"/>
      <w:r w:rsidRPr="009B3188">
        <w:rPr>
          <w:rFonts w:ascii="Kohinoor Devanagari" w:hAnsi="Kohinoor Devanagari" w:cs="Kohinoor Devanagari"/>
          <w:b/>
          <w:bCs/>
          <w:color w:val="FFFFFF" w:themeColor="background1"/>
          <w:sz w:val="26"/>
          <w:szCs w:val="26"/>
        </w:rPr>
        <w:lastRenderedPageBreak/>
        <w:t>Etat des lieux de la divulgation des données ITIE</w:t>
      </w:r>
      <w:bookmarkEnd w:id="19"/>
    </w:p>
    <w:p w14:paraId="78007EBE" w14:textId="11F18BB4" w:rsidR="00D837A1" w:rsidRPr="00240C99" w:rsidRDefault="00D837A1" w:rsidP="00240C99">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240C99">
        <w:rPr>
          <w:rFonts w:ascii="Kohinoor Devanagari" w:eastAsia="Times New Roman" w:hAnsi="Kohinoor Devanagari" w:cs="Kohinoor Devanagari"/>
          <w:color w:val="000000" w:themeColor="text1"/>
          <w:kern w:val="0"/>
          <w:sz w:val="20"/>
          <w:szCs w:val="20"/>
          <w:lang w:eastAsia="fr-FR"/>
          <w14:ligatures w14:val="none"/>
        </w:rPr>
        <w:t xml:space="preserve">Cette section propose une évaluation </w:t>
      </w:r>
      <w:r w:rsidR="00D22BD5" w:rsidRPr="00240C99">
        <w:rPr>
          <w:rFonts w:ascii="Kohinoor Devanagari" w:eastAsia="Times New Roman" w:hAnsi="Kohinoor Devanagari" w:cs="Kohinoor Devanagari"/>
          <w:color w:val="000000" w:themeColor="text1"/>
          <w:kern w:val="0"/>
          <w:sz w:val="20"/>
          <w:szCs w:val="20"/>
          <w:lang w:eastAsia="fr-FR"/>
          <w14:ligatures w14:val="none"/>
        </w:rPr>
        <w:t>globale</w:t>
      </w:r>
      <w:r w:rsidRPr="00240C99">
        <w:rPr>
          <w:rFonts w:ascii="Kohinoor Devanagari" w:eastAsia="Times New Roman" w:hAnsi="Kohinoor Devanagari" w:cs="Kohinoor Devanagari"/>
          <w:color w:val="000000" w:themeColor="text1"/>
          <w:kern w:val="0"/>
          <w:sz w:val="20"/>
          <w:szCs w:val="20"/>
          <w:lang w:eastAsia="fr-FR"/>
          <w14:ligatures w14:val="none"/>
        </w:rPr>
        <w:t xml:space="preserve"> de la disponibilité, de l’accessibilité et du niveau d’intégration des informations exigées par la Norme ITIE 2023 dans les systèmes gouvernementaux du Cameroun. Elle vise à cartographier les dispositifs institutionnels et numériques de gestion des finances publiques, tout en identifiant les défis et les opportunités en matière de divulgation systématique des données extractives.</w:t>
      </w:r>
    </w:p>
    <w:p w14:paraId="3FB9DF93" w14:textId="29D50C13" w:rsidR="00E019D7" w:rsidRPr="00240C99" w:rsidRDefault="00E019D7" w:rsidP="00240C99">
      <w:pPr>
        <w:pStyle w:val="Titre2"/>
        <w:numPr>
          <w:ilvl w:val="1"/>
          <w:numId w:val="8"/>
        </w:numPr>
        <w:spacing w:before="120" w:after="120" w:line="240" w:lineRule="auto"/>
        <w:ind w:left="850" w:hanging="493"/>
        <w:jc w:val="both"/>
        <w:rPr>
          <w:rFonts w:ascii="Kohinoor Devanagari" w:eastAsia="Times New Roman" w:hAnsi="Kohinoor Devanagari" w:cs="Kohinoor Devanagari"/>
          <w:b/>
          <w:bCs/>
          <w:color w:val="000000" w:themeColor="text1"/>
          <w:sz w:val="20"/>
          <w:szCs w:val="20"/>
          <w:lang w:eastAsia="fr-FR"/>
        </w:rPr>
      </w:pPr>
      <w:bookmarkStart w:id="20" w:name="_Toc204691613"/>
      <w:r w:rsidRPr="00240C99">
        <w:rPr>
          <w:rFonts w:ascii="Kohinoor Devanagari" w:eastAsia="Times New Roman" w:hAnsi="Kohinoor Devanagari" w:cs="Kohinoor Devanagari"/>
          <w:b/>
          <w:bCs/>
          <w:color w:val="000000" w:themeColor="text1"/>
          <w:sz w:val="20"/>
          <w:szCs w:val="20"/>
          <w:lang w:eastAsia="fr-FR"/>
        </w:rPr>
        <w:t xml:space="preserve">Évaluation de la disponibilité des informations requises par la Norme </w:t>
      </w:r>
      <w:r w:rsidR="008E2D67" w:rsidRPr="00240C99">
        <w:rPr>
          <w:rFonts w:ascii="Kohinoor Devanagari" w:eastAsia="Times New Roman" w:hAnsi="Kohinoor Devanagari" w:cs="Kohinoor Devanagari"/>
          <w:b/>
          <w:bCs/>
          <w:color w:val="000000" w:themeColor="text1"/>
          <w:sz w:val="20"/>
          <w:szCs w:val="20"/>
          <w:lang w:eastAsia="fr-FR"/>
        </w:rPr>
        <w:t xml:space="preserve">ITIE </w:t>
      </w:r>
      <w:r w:rsidRPr="00240C99">
        <w:rPr>
          <w:rFonts w:ascii="Kohinoor Devanagari" w:eastAsia="Times New Roman" w:hAnsi="Kohinoor Devanagari" w:cs="Kohinoor Devanagari"/>
          <w:b/>
          <w:bCs/>
          <w:color w:val="000000" w:themeColor="text1"/>
          <w:sz w:val="20"/>
          <w:szCs w:val="20"/>
          <w:lang w:eastAsia="fr-FR"/>
        </w:rPr>
        <w:t>dans les systèmes gouvernementaux.</w:t>
      </w:r>
      <w:bookmarkEnd w:id="20"/>
    </w:p>
    <w:p w14:paraId="159CDFEA" w14:textId="77777777" w:rsidR="00484FC1" w:rsidRPr="00484FC1" w:rsidRDefault="00484FC1" w:rsidP="00240C99">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Les tableaux présentés dans cette section dressent un inventaire structuré des données disponibles pour les secteurs minier et pétrolier, ventilé par exigence ITIE. L’analyse se base sur les standards de la Norme ITIE 2023 et permet d’identifier les écarts entre les pratiques actuelles et les attentes en matière de divulgation.</w:t>
      </w:r>
    </w:p>
    <w:p w14:paraId="3E46CE3A" w14:textId="77777777" w:rsidR="00484FC1" w:rsidRPr="00484FC1" w:rsidRDefault="00484FC1" w:rsidP="00240C99">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 xml:space="preserve">L’évaluation repose sur un </w:t>
      </w:r>
      <w:r w:rsidRPr="00484FC1">
        <w:rPr>
          <w:rFonts w:ascii="Kohinoor Devanagari" w:eastAsia="Times New Roman" w:hAnsi="Kohinoor Devanagari" w:cs="Kohinoor Devanagari"/>
          <w:b/>
          <w:bCs/>
          <w:color w:val="000000" w:themeColor="text1"/>
          <w:kern w:val="0"/>
          <w:sz w:val="20"/>
          <w:szCs w:val="20"/>
          <w:lang w:eastAsia="fr-FR"/>
          <w14:ligatures w14:val="none"/>
        </w:rPr>
        <w:t>mapping détaillé</w:t>
      </w:r>
      <w:r w:rsidRPr="00484FC1">
        <w:rPr>
          <w:rFonts w:ascii="Kohinoor Devanagari" w:eastAsia="Times New Roman" w:hAnsi="Kohinoor Devanagari" w:cs="Kohinoor Devanagari"/>
          <w:color w:val="000000" w:themeColor="text1"/>
          <w:kern w:val="0"/>
          <w:sz w:val="20"/>
          <w:szCs w:val="20"/>
          <w:lang w:eastAsia="fr-FR"/>
          <w14:ligatures w14:val="none"/>
        </w:rPr>
        <w:t xml:space="preserve">, présenté en </w:t>
      </w:r>
      <w:r w:rsidRPr="00484FC1">
        <w:rPr>
          <w:rFonts w:ascii="Kohinoor Devanagari" w:eastAsia="Times New Roman" w:hAnsi="Kohinoor Devanagari" w:cs="Kohinoor Devanagari"/>
          <w:b/>
          <w:bCs/>
          <w:color w:val="000000" w:themeColor="text1"/>
          <w:kern w:val="0"/>
          <w:sz w:val="20"/>
          <w:szCs w:val="20"/>
          <w:lang w:eastAsia="fr-FR"/>
          <w14:ligatures w14:val="none"/>
        </w:rPr>
        <w:t>annexe 3</w:t>
      </w:r>
      <w:r w:rsidRPr="00484FC1">
        <w:rPr>
          <w:rFonts w:ascii="Kohinoor Devanagari" w:eastAsia="Times New Roman" w:hAnsi="Kohinoor Devanagari" w:cs="Kohinoor Devanagari"/>
          <w:color w:val="000000" w:themeColor="text1"/>
          <w:kern w:val="0"/>
          <w:sz w:val="20"/>
          <w:szCs w:val="20"/>
          <w:lang w:eastAsia="fr-FR"/>
          <w14:ligatures w14:val="none"/>
        </w:rPr>
        <w:t>, qui comprend les éléments suivants :</w:t>
      </w:r>
    </w:p>
    <w:p w14:paraId="3D626614"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Présentation par exigence ITIE</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Description précise des dispositions de la Norme 2023, avec distinction entre les exigences obligatoires, attendues et recommandées.</w:t>
      </w:r>
    </w:p>
    <w:p w14:paraId="02F2F366"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Description des données disponibles</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Intégrée dans les tableaux de cette section, avec mention des sources et formats de publication.</w:t>
      </w:r>
    </w:p>
    <w:p w14:paraId="3D703345"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Identification des entités responsables</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Pour chaque donnée, la structure détentrice ou responsable de la divulgation est précisée.</w:t>
      </w:r>
    </w:p>
    <w:p w14:paraId="146BC626"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Liens vers les sources en ligne</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Lorsque disponibles, les URL sont fournies pour permettre une vérification directe de la publication.</w:t>
      </w:r>
    </w:p>
    <w:p w14:paraId="059D4F63"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Évaluation du niveau d’intégration</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Classement selon que la donnée est :</w:t>
      </w:r>
    </w:p>
    <w:p w14:paraId="7EFB498D" w14:textId="77777777" w:rsidR="00484FC1" w:rsidRPr="00484FC1" w:rsidRDefault="00484FC1" w:rsidP="00240C99">
      <w:pPr>
        <w:numPr>
          <w:ilvl w:val="1"/>
          <w:numId w:val="12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intégrée et accessible en ligne via un système automatisé ;</w:t>
      </w:r>
    </w:p>
    <w:p w14:paraId="09419618" w14:textId="77777777" w:rsidR="00484FC1" w:rsidRPr="00484FC1" w:rsidRDefault="00484FC1" w:rsidP="00240C99">
      <w:pPr>
        <w:numPr>
          <w:ilvl w:val="1"/>
          <w:numId w:val="12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partiellement disponible ;</w:t>
      </w:r>
    </w:p>
    <w:p w14:paraId="3427D18A" w14:textId="77777777" w:rsidR="00484FC1" w:rsidRPr="00484FC1" w:rsidRDefault="00484FC1" w:rsidP="00240C99">
      <w:pPr>
        <w:numPr>
          <w:ilvl w:val="1"/>
          <w:numId w:val="120"/>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non divulguée ou seulement accessible via les rapports ITIE.</w:t>
      </w:r>
    </w:p>
    <w:p w14:paraId="769E6529"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Évaluation de la qualité de la donnée</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Critères appliqués :</w:t>
      </w:r>
    </w:p>
    <w:p w14:paraId="359BC16B" w14:textId="77777777" w:rsidR="00484FC1" w:rsidRPr="00484FC1" w:rsidRDefault="00484FC1" w:rsidP="00240C99">
      <w:pPr>
        <w:numPr>
          <w:ilvl w:val="1"/>
          <w:numId w:val="120"/>
        </w:numPr>
        <w:tabs>
          <w:tab w:val="num" w:pos="1440"/>
        </w:tabs>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Désagrégation (par entreprise, projet, genre, région, etc.) ;</w:t>
      </w:r>
    </w:p>
    <w:p w14:paraId="3357F286" w14:textId="77777777" w:rsidR="00484FC1" w:rsidRPr="00484FC1" w:rsidRDefault="00484FC1" w:rsidP="00240C99">
      <w:pPr>
        <w:numPr>
          <w:ilvl w:val="1"/>
          <w:numId w:val="120"/>
        </w:numPr>
        <w:tabs>
          <w:tab w:val="num" w:pos="1440"/>
        </w:tabs>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Ponctualité (délai de publication) ;</w:t>
      </w:r>
    </w:p>
    <w:p w14:paraId="4FFFD18D" w14:textId="77777777" w:rsidR="00484FC1" w:rsidRPr="00484FC1" w:rsidRDefault="00484FC1" w:rsidP="00240C99">
      <w:pPr>
        <w:numPr>
          <w:ilvl w:val="1"/>
          <w:numId w:val="120"/>
        </w:numPr>
        <w:tabs>
          <w:tab w:val="num" w:pos="1440"/>
        </w:tabs>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lastRenderedPageBreak/>
        <w:t>Accessibilité (format lisible, open data, langage citoyen).</w:t>
      </w:r>
    </w:p>
    <w:p w14:paraId="2416E405"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Revue des systèmes informatiques utilisés</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Évaluation sommaire des logiciels et portails publics en lien avec la gestion des données extractives.</w:t>
      </w:r>
    </w:p>
    <w:p w14:paraId="1D364678"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Propositions d’actions concrètes</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Recommandations pour améliorer la collecte, la qualité et la publication des données.</w:t>
      </w:r>
    </w:p>
    <w:p w14:paraId="463A3B57"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Estimation des délais de mise en œuvre</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Pour chaque action prioritaire, une estimation du temps requis est proposée.</w:t>
      </w:r>
    </w:p>
    <w:p w14:paraId="430358F7" w14:textId="77777777" w:rsidR="00484FC1" w:rsidRPr="00484FC1" w:rsidRDefault="00484FC1" w:rsidP="00240C99">
      <w:pPr>
        <w:numPr>
          <w:ilvl w:val="0"/>
          <w:numId w:val="119"/>
        </w:num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b/>
          <w:bCs/>
          <w:color w:val="000000" w:themeColor="text1"/>
          <w:kern w:val="0"/>
          <w:sz w:val="20"/>
          <w:szCs w:val="20"/>
          <w:lang w:eastAsia="fr-FR"/>
          <w14:ligatures w14:val="none"/>
        </w:rPr>
        <w:t>Indicateurs de suivi</w:t>
      </w:r>
      <w:r w:rsidRPr="00484FC1">
        <w:rPr>
          <w:rFonts w:ascii="Kohinoor Devanagari" w:eastAsia="Times New Roman" w:hAnsi="Kohinoor Devanagari" w:cs="Kohinoor Devanagari"/>
          <w:color w:val="000000" w:themeColor="text1"/>
          <w:kern w:val="0"/>
          <w:sz w:val="20"/>
          <w:szCs w:val="20"/>
          <w:lang w:eastAsia="fr-FR"/>
          <w14:ligatures w14:val="none"/>
        </w:rPr>
        <w:t xml:space="preserve"> : Pour mesurer les progrès dans l’intégration et la qualité des divulgations.</w:t>
      </w:r>
    </w:p>
    <w:p w14:paraId="7278C5D5" w14:textId="77777777" w:rsidR="00484FC1" w:rsidRPr="00484FC1" w:rsidRDefault="00484FC1" w:rsidP="00240C99">
      <w:pPr>
        <w:spacing w:before="120" w:after="120" w:line="240" w:lineRule="auto"/>
        <w:jc w:val="both"/>
        <w:rPr>
          <w:rFonts w:ascii="Kohinoor Devanagari" w:eastAsia="Times New Roman" w:hAnsi="Kohinoor Devanagari" w:cs="Kohinoor Devanagari"/>
          <w:color w:val="000000" w:themeColor="text1"/>
          <w:kern w:val="0"/>
          <w:sz w:val="20"/>
          <w:szCs w:val="20"/>
          <w:lang w:eastAsia="fr-FR"/>
          <w14:ligatures w14:val="none"/>
        </w:rPr>
      </w:pPr>
      <w:r w:rsidRPr="00484FC1">
        <w:rPr>
          <w:rFonts w:ascii="Kohinoor Devanagari" w:eastAsia="Times New Roman" w:hAnsi="Kohinoor Devanagari" w:cs="Kohinoor Devanagari"/>
          <w:color w:val="000000" w:themeColor="text1"/>
          <w:kern w:val="0"/>
          <w:sz w:val="20"/>
          <w:szCs w:val="20"/>
          <w:lang w:eastAsia="fr-FR"/>
          <w14:ligatures w14:val="none"/>
        </w:rPr>
        <w:t>Cette cartographie vise à fournir un outil opérationnel de pilotage de la transition vers la divulgation systématique, en identifiant clairement les responsabilités, les obstacles et les leviers d’action. Elle constitue une base essentielle pour le suivi des engagements du Cameroun dans le cadre de la Norme ITIE 2023.</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1130"/>
        <w:gridCol w:w="1948"/>
        <w:gridCol w:w="2435"/>
        <w:gridCol w:w="3387"/>
        <w:gridCol w:w="2082"/>
      </w:tblGrid>
      <w:tr w:rsidR="00EC1474" w:rsidRPr="00240C99" w14:paraId="1DD6D790" w14:textId="77777777" w:rsidTr="00D22BD5">
        <w:trPr>
          <w:tblHeader/>
        </w:trPr>
        <w:tc>
          <w:tcPr>
            <w:tcW w:w="0" w:type="auto"/>
            <w:shd w:val="clear" w:color="auto" w:fill="47626F"/>
            <w:hideMark/>
          </w:tcPr>
          <w:p w14:paraId="25F13B8C" w14:textId="2DFABAF2" w:rsidR="00EC1474" w:rsidRPr="0075631F" w:rsidRDefault="00EC1474" w:rsidP="00D22BD5">
            <w:pPr>
              <w:spacing w:before="40" w:after="40"/>
              <w:jc w:val="both"/>
              <w:rPr>
                <w:rFonts w:ascii="Kohinoor Devanagari" w:eastAsia="Times New Roman" w:hAnsi="Kohinoor Devanagari" w:cs="Kohinoor Devanagari"/>
                <w:b/>
                <w:bCs/>
                <w:color w:val="FFFFFF" w:themeColor="background1"/>
                <w:kern w:val="0"/>
                <w:sz w:val="20"/>
                <w:szCs w:val="20"/>
                <w:lang w:eastAsia="fr-FR"/>
                <w14:ligatures w14:val="none"/>
              </w:rPr>
            </w:pPr>
            <w:r w:rsidRPr="00240C99">
              <w:rPr>
                <w:rFonts w:ascii="Kohinoor Devanagari" w:eastAsia="Times New Roman" w:hAnsi="Kohinoor Devanagari" w:cs="Kohinoor Devanagari"/>
                <w:b/>
                <w:bCs/>
                <w:color w:val="FFFFFF" w:themeColor="background1"/>
                <w:kern w:val="0"/>
                <w:sz w:val="20"/>
                <w:szCs w:val="20"/>
                <w:lang w:eastAsia="fr-FR"/>
                <w14:ligatures w14:val="none"/>
              </w:rPr>
              <w:t>E</w:t>
            </w:r>
            <w:r w:rsidRPr="0075631F">
              <w:rPr>
                <w:rFonts w:ascii="Kohinoor Devanagari" w:eastAsia="Times New Roman" w:hAnsi="Kohinoor Devanagari" w:cs="Kohinoor Devanagari"/>
                <w:b/>
                <w:bCs/>
                <w:color w:val="FFFFFF" w:themeColor="background1"/>
                <w:kern w:val="0"/>
                <w:sz w:val="20"/>
                <w:szCs w:val="20"/>
                <w:lang w:eastAsia="fr-FR"/>
                <w14:ligatures w14:val="none"/>
              </w:rPr>
              <w:t>xigence ITIE</w:t>
            </w:r>
          </w:p>
        </w:tc>
        <w:tc>
          <w:tcPr>
            <w:tcW w:w="0" w:type="auto"/>
            <w:shd w:val="clear" w:color="auto" w:fill="47626F"/>
            <w:hideMark/>
          </w:tcPr>
          <w:p w14:paraId="32862607" w14:textId="77777777" w:rsidR="00EC1474" w:rsidRPr="0075631F" w:rsidRDefault="00EC1474" w:rsidP="00D22BD5">
            <w:pPr>
              <w:spacing w:before="40" w:after="40"/>
              <w:jc w:val="both"/>
              <w:rPr>
                <w:rFonts w:ascii="Kohinoor Devanagari" w:eastAsia="Times New Roman" w:hAnsi="Kohinoor Devanagari" w:cs="Kohinoor Devanagari"/>
                <w:b/>
                <w:bCs/>
                <w:color w:val="FFFFFF" w:themeColor="background1"/>
                <w:kern w:val="0"/>
                <w:sz w:val="20"/>
                <w:szCs w:val="20"/>
                <w:lang w:eastAsia="fr-FR"/>
                <w14:ligatures w14:val="none"/>
              </w:rPr>
            </w:pPr>
            <w:r w:rsidRPr="0075631F">
              <w:rPr>
                <w:rFonts w:ascii="Kohinoor Devanagari" w:eastAsia="Times New Roman" w:hAnsi="Kohinoor Devanagari" w:cs="Kohinoor Devanagari"/>
                <w:b/>
                <w:bCs/>
                <w:color w:val="FFFFFF" w:themeColor="background1"/>
                <w:kern w:val="0"/>
                <w:sz w:val="20"/>
                <w:szCs w:val="20"/>
                <w:lang w:eastAsia="fr-FR"/>
                <w14:ligatures w14:val="none"/>
              </w:rPr>
              <w:t>Secteur</w:t>
            </w:r>
          </w:p>
        </w:tc>
        <w:tc>
          <w:tcPr>
            <w:tcW w:w="0" w:type="auto"/>
            <w:shd w:val="clear" w:color="auto" w:fill="47626F"/>
            <w:hideMark/>
          </w:tcPr>
          <w:p w14:paraId="5F6DAEE9" w14:textId="77777777" w:rsidR="00EC1474" w:rsidRPr="0075631F" w:rsidRDefault="00EC1474" w:rsidP="00D22BD5">
            <w:pPr>
              <w:spacing w:before="40" w:after="40"/>
              <w:jc w:val="both"/>
              <w:rPr>
                <w:rFonts w:ascii="Kohinoor Devanagari" w:eastAsia="Times New Roman" w:hAnsi="Kohinoor Devanagari" w:cs="Kohinoor Devanagari"/>
                <w:b/>
                <w:bCs/>
                <w:color w:val="FFFFFF" w:themeColor="background1"/>
                <w:kern w:val="0"/>
                <w:sz w:val="20"/>
                <w:szCs w:val="20"/>
                <w:lang w:eastAsia="fr-FR"/>
                <w14:ligatures w14:val="none"/>
              </w:rPr>
            </w:pPr>
            <w:r w:rsidRPr="0075631F">
              <w:rPr>
                <w:rFonts w:ascii="Kohinoor Devanagari" w:eastAsia="Times New Roman" w:hAnsi="Kohinoor Devanagari" w:cs="Kohinoor Devanagari"/>
                <w:b/>
                <w:bCs/>
                <w:color w:val="FFFFFF" w:themeColor="background1"/>
                <w:kern w:val="0"/>
                <w:sz w:val="20"/>
                <w:szCs w:val="20"/>
                <w:lang w:eastAsia="fr-FR"/>
                <w14:ligatures w14:val="none"/>
              </w:rPr>
              <w:t>Conformité actuelle</w:t>
            </w:r>
          </w:p>
        </w:tc>
        <w:tc>
          <w:tcPr>
            <w:tcW w:w="0" w:type="auto"/>
            <w:shd w:val="clear" w:color="auto" w:fill="47626F"/>
            <w:hideMark/>
          </w:tcPr>
          <w:p w14:paraId="0DDC0EB8" w14:textId="77777777" w:rsidR="00EC1474" w:rsidRPr="0075631F" w:rsidRDefault="00EC1474" w:rsidP="00D22BD5">
            <w:pPr>
              <w:spacing w:before="40" w:after="40"/>
              <w:jc w:val="both"/>
              <w:rPr>
                <w:rFonts w:ascii="Kohinoor Devanagari" w:eastAsia="Times New Roman" w:hAnsi="Kohinoor Devanagari" w:cs="Kohinoor Devanagari"/>
                <w:b/>
                <w:bCs/>
                <w:color w:val="FFFFFF" w:themeColor="background1"/>
                <w:kern w:val="0"/>
                <w:sz w:val="20"/>
                <w:szCs w:val="20"/>
                <w:lang w:eastAsia="fr-FR"/>
                <w14:ligatures w14:val="none"/>
              </w:rPr>
            </w:pPr>
            <w:r w:rsidRPr="0075631F">
              <w:rPr>
                <w:rFonts w:ascii="Kohinoor Devanagari" w:eastAsia="Times New Roman" w:hAnsi="Kohinoor Devanagari" w:cs="Kohinoor Devanagari"/>
                <w:b/>
                <w:bCs/>
                <w:color w:val="FFFFFF" w:themeColor="background1"/>
                <w:kern w:val="0"/>
                <w:sz w:val="20"/>
                <w:szCs w:val="20"/>
                <w:lang w:eastAsia="fr-FR"/>
                <w14:ligatures w14:val="none"/>
              </w:rPr>
              <w:t>Évaluation générale</w:t>
            </w:r>
          </w:p>
        </w:tc>
        <w:tc>
          <w:tcPr>
            <w:tcW w:w="0" w:type="auto"/>
            <w:shd w:val="clear" w:color="auto" w:fill="47626F"/>
            <w:hideMark/>
          </w:tcPr>
          <w:p w14:paraId="4E2D55CD" w14:textId="77777777" w:rsidR="00EC1474" w:rsidRPr="0075631F" w:rsidRDefault="00EC1474" w:rsidP="00D22BD5">
            <w:pPr>
              <w:spacing w:before="40" w:after="40"/>
              <w:jc w:val="both"/>
              <w:rPr>
                <w:rFonts w:ascii="Kohinoor Devanagari" w:eastAsia="Times New Roman" w:hAnsi="Kohinoor Devanagari" w:cs="Kohinoor Devanagari"/>
                <w:b/>
                <w:bCs/>
                <w:color w:val="FFFFFF" w:themeColor="background1"/>
                <w:kern w:val="0"/>
                <w:sz w:val="20"/>
                <w:szCs w:val="20"/>
                <w:lang w:eastAsia="fr-FR"/>
                <w14:ligatures w14:val="none"/>
              </w:rPr>
            </w:pPr>
            <w:r w:rsidRPr="0075631F">
              <w:rPr>
                <w:rFonts w:ascii="Kohinoor Devanagari" w:eastAsia="Times New Roman" w:hAnsi="Kohinoor Devanagari" w:cs="Kohinoor Devanagari"/>
                <w:b/>
                <w:bCs/>
                <w:color w:val="FFFFFF" w:themeColor="background1"/>
                <w:kern w:val="0"/>
                <w:sz w:val="20"/>
                <w:szCs w:val="20"/>
                <w:lang w:eastAsia="fr-FR"/>
                <w14:ligatures w14:val="none"/>
              </w:rPr>
              <w:t>Principales recommandations</w:t>
            </w:r>
          </w:p>
        </w:tc>
        <w:tc>
          <w:tcPr>
            <w:tcW w:w="0" w:type="auto"/>
            <w:shd w:val="clear" w:color="auto" w:fill="47626F"/>
            <w:hideMark/>
          </w:tcPr>
          <w:p w14:paraId="3C4172B6" w14:textId="77777777" w:rsidR="00EC1474" w:rsidRPr="0075631F" w:rsidRDefault="00EC1474" w:rsidP="00D22BD5">
            <w:pPr>
              <w:spacing w:before="40" w:after="40"/>
              <w:jc w:val="both"/>
              <w:rPr>
                <w:rFonts w:ascii="Kohinoor Devanagari" w:eastAsia="Times New Roman" w:hAnsi="Kohinoor Devanagari" w:cs="Kohinoor Devanagari"/>
                <w:b/>
                <w:bCs/>
                <w:color w:val="FFFFFF" w:themeColor="background1"/>
                <w:kern w:val="0"/>
                <w:sz w:val="20"/>
                <w:szCs w:val="20"/>
                <w:lang w:eastAsia="fr-FR"/>
                <w14:ligatures w14:val="none"/>
              </w:rPr>
            </w:pPr>
            <w:r w:rsidRPr="0075631F">
              <w:rPr>
                <w:rFonts w:ascii="Kohinoor Devanagari" w:eastAsia="Times New Roman" w:hAnsi="Kohinoor Devanagari" w:cs="Kohinoor Devanagari"/>
                <w:b/>
                <w:bCs/>
                <w:color w:val="FFFFFF" w:themeColor="background1"/>
                <w:kern w:val="0"/>
                <w:sz w:val="20"/>
                <w:szCs w:val="20"/>
                <w:lang w:eastAsia="fr-FR"/>
                <w14:ligatures w14:val="none"/>
              </w:rPr>
              <w:t>Durée d'implémentation estimée</w:t>
            </w:r>
          </w:p>
        </w:tc>
      </w:tr>
      <w:tr w:rsidR="00EC1474" w:rsidRPr="00240C99" w14:paraId="21D5BE9A" w14:textId="77777777" w:rsidTr="00D22BD5">
        <w:tc>
          <w:tcPr>
            <w:tcW w:w="0" w:type="auto"/>
            <w:hideMark/>
          </w:tcPr>
          <w:p w14:paraId="56187A8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2.1 - Cadre juridique et fiscal</w:t>
            </w:r>
          </w:p>
        </w:tc>
        <w:tc>
          <w:tcPr>
            <w:tcW w:w="0" w:type="auto"/>
            <w:hideMark/>
          </w:tcPr>
          <w:p w14:paraId="0421E81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23D05ED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Partielle</w:t>
            </w:r>
          </w:p>
        </w:tc>
        <w:tc>
          <w:tcPr>
            <w:tcW w:w="0" w:type="auto"/>
            <w:hideMark/>
          </w:tcPr>
          <w:p w14:paraId="0BD249D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Textes dispersés, incomplets, non actualisés</w:t>
            </w:r>
          </w:p>
        </w:tc>
        <w:tc>
          <w:tcPr>
            <w:tcW w:w="0" w:type="auto"/>
            <w:hideMark/>
          </w:tcPr>
          <w:p w14:paraId="1D66EB9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Centraliser et structurer les documents sur un portail public</w:t>
            </w:r>
          </w:p>
        </w:tc>
        <w:tc>
          <w:tcPr>
            <w:tcW w:w="0" w:type="auto"/>
            <w:hideMark/>
          </w:tcPr>
          <w:p w14:paraId="10689B5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2-3 mois</w:t>
            </w:r>
          </w:p>
        </w:tc>
      </w:tr>
      <w:tr w:rsidR="00EC1474" w:rsidRPr="00240C99" w14:paraId="3A6395F0" w14:textId="77777777" w:rsidTr="00D22BD5">
        <w:tc>
          <w:tcPr>
            <w:tcW w:w="0" w:type="auto"/>
            <w:shd w:val="clear" w:color="auto" w:fill="E2EFD9" w:themeFill="accent6" w:themeFillTint="33"/>
            <w:hideMark/>
          </w:tcPr>
          <w:p w14:paraId="1FFDE36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2.2 - Octroi des licences (Minier)</w:t>
            </w:r>
          </w:p>
        </w:tc>
        <w:tc>
          <w:tcPr>
            <w:tcW w:w="0" w:type="auto"/>
            <w:shd w:val="clear" w:color="auto" w:fill="E2EFD9" w:themeFill="accent6" w:themeFillTint="33"/>
            <w:hideMark/>
          </w:tcPr>
          <w:p w14:paraId="6A08B40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w:t>
            </w:r>
          </w:p>
        </w:tc>
        <w:tc>
          <w:tcPr>
            <w:tcW w:w="0" w:type="auto"/>
            <w:shd w:val="clear" w:color="auto" w:fill="E2EFD9" w:themeFill="accent6" w:themeFillTint="33"/>
            <w:hideMark/>
          </w:tcPr>
          <w:p w14:paraId="6AEEC4A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Partielle</w:t>
            </w:r>
          </w:p>
        </w:tc>
        <w:tc>
          <w:tcPr>
            <w:tcW w:w="0" w:type="auto"/>
            <w:shd w:val="clear" w:color="auto" w:fill="E2EFD9" w:themeFill="accent6" w:themeFillTint="33"/>
            <w:hideMark/>
          </w:tcPr>
          <w:p w14:paraId="64FA6A1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Cadastre incomplet, manque détails sur contrats et bénéficiaires</w:t>
            </w:r>
          </w:p>
        </w:tc>
        <w:tc>
          <w:tcPr>
            <w:tcW w:w="0" w:type="auto"/>
            <w:shd w:val="clear" w:color="auto" w:fill="E2EFD9" w:themeFill="accent6" w:themeFillTint="33"/>
            <w:hideMark/>
          </w:tcPr>
          <w:p w14:paraId="75C5F70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Compléter cadastre, ajouter export open data</w:t>
            </w:r>
          </w:p>
        </w:tc>
        <w:tc>
          <w:tcPr>
            <w:tcW w:w="0" w:type="auto"/>
            <w:shd w:val="clear" w:color="auto" w:fill="E2EFD9" w:themeFill="accent6" w:themeFillTint="33"/>
            <w:hideMark/>
          </w:tcPr>
          <w:p w14:paraId="46A3E57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3-6 mois</w:t>
            </w:r>
          </w:p>
        </w:tc>
      </w:tr>
      <w:tr w:rsidR="00EC1474" w:rsidRPr="00240C99" w14:paraId="5B363998" w14:textId="77777777" w:rsidTr="00D22BD5">
        <w:tc>
          <w:tcPr>
            <w:tcW w:w="0" w:type="auto"/>
            <w:hideMark/>
          </w:tcPr>
          <w:p w14:paraId="197BEF7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2.2 - Octroi des licences (Pétrolier)</w:t>
            </w:r>
          </w:p>
        </w:tc>
        <w:tc>
          <w:tcPr>
            <w:tcW w:w="0" w:type="auto"/>
            <w:hideMark/>
          </w:tcPr>
          <w:p w14:paraId="429F0C9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Pétrolier</w:t>
            </w:r>
          </w:p>
        </w:tc>
        <w:tc>
          <w:tcPr>
            <w:tcW w:w="0" w:type="auto"/>
            <w:hideMark/>
          </w:tcPr>
          <w:p w14:paraId="6AB3AF1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Non conforme</w:t>
            </w:r>
          </w:p>
        </w:tc>
        <w:tc>
          <w:tcPr>
            <w:tcW w:w="0" w:type="auto"/>
            <w:hideMark/>
          </w:tcPr>
          <w:p w14:paraId="0A50C6D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figées, absentes depuis 2017</w:t>
            </w:r>
          </w:p>
        </w:tc>
        <w:tc>
          <w:tcPr>
            <w:tcW w:w="0" w:type="auto"/>
            <w:hideMark/>
          </w:tcPr>
          <w:p w14:paraId="57E91CD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Créer un registre public actualisé</w:t>
            </w:r>
          </w:p>
        </w:tc>
        <w:tc>
          <w:tcPr>
            <w:tcW w:w="0" w:type="auto"/>
            <w:hideMark/>
          </w:tcPr>
          <w:p w14:paraId="250546A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 mois</w:t>
            </w:r>
          </w:p>
        </w:tc>
      </w:tr>
      <w:tr w:rsidR="00EC1474" w:rsidRPr="00240C99" w14:paraId="616DEB5D" w14:textId="77777777" w:rsidTr="00D22BD5">
        <w:tc>
          <w:tcPr>
            <w:tcW w:w="0" w:type="auto"/>
            <w:shd w:val="clear" w:color="auto" w:fill="E2EFD9" w:themeFill="accent6" w:themeFillTint="33"/>
            <w:hideMark/>
          </w:tcPr>
          <w:p w14:paraId="4A4C5DB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lastRenderedPageBreak/>
              <w:t>2.3 - Registre des licences (Pétrolier)</w:t>
            </w:r>
          </w:p>
        </w:tc>
        <w:tc>
          <w:tcPr>
            <w:tcW w:w="0" w:type="auto"/>
            <w:shd w:val="clear" w:color="auto" w:fill="E2EFD9" w:themeFill="accent6" w:themeFillTint="33"/>
            <w:hideMark/>
          </w:tcPr>
          <w:p w14:paraId="6EB381E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Pétrolier</w:t>
            </w:r>
          </w:p>
        </w:tc>
        <w:tc>
          <w:tcPr>
            <w:tcW w:w="0" w:type="auto"/>
            <w:shd w:val="clear" w:color="auto" w:fill="E2EFD9" w:themeFill="accent6" w:themeFillTint="33"/>
            <w:hideMark/>
          </w:tcPr>
          <w:p w14:paraId="778C627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Non conforme</w:t>
            </w:r>
          </w:p>
        </w:tc>
        <w:tc>
          <w:tcPr>
            <w:tcW w:w="0" w:type="auto"/>
            <w:shd w:val="clear" w:color="auto" w:fill="E2EFD9" w:themeFill="accent6" w:themeFillTint="33"/>
            <w:hideMark/>
          </w:tcPr>
          <w:p w14:paraId="5FAB96A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incomplètes, statiques, non actualisées</w:t>
            </w:r>
          </w:p>
        </w:tc>
        <w:tc>
          <w:tcPr>
            <w:tcW w:w="0" w:type="auto"/>
            <w:shd w:val="clear" w:color="auto" w:fill="E2EFD9" w:themeFill="accent6" w:themeFillTint="33"/>
            <w:hideMark/>
          </w:tcPr>
          <w:p w14:paraId="54BF498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Mettre en place un cadastre interactif</w:t>
            </w:r>
          </w:p>
        </w:tc>
        <w:tc>
          <w:tcPr>
            <w:tcW w:w="0" w:type="auto"/>
            <w:shd w:val="clear" w:color="auto" w:fill="E2EFD9" w:themeFill="accent6" w:themeFillTint="33"/>
            <w:hideMark/>
          </w:tcPr>
          <w:p w14:paraId="4974971C"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 mois</w:t>
            </w:r>
          </w:p>
        </w:tc>
      </w:tr>
      <w:tr w:rsidR="00EC1474" w:rsidRPr="00240C99" w14:paraId="2BBD0DBD" w14:textId="77777777" w:rsidTr="00D22BD5">
        <w:tc>
          <w:tcPr>
            <w:tcW w:w="0" w:type="auto"/>
            <w:hideMark/>
          </w:tcPr>
          <w:p w14:paraId="50EB358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2.3 - Registre des licences (Minier)</w:t>
            </w:r>
          </w:p>
        </w:tc>
        <w:tc>
          <w:tcPr>
            <w:tcW w:w="0" w:type="auto"/>
            <w:hideMark/>
          </w:tcPr>
          <w:p w14:paraId="6A70BD8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w:t>
            </w:r>
          </w:p>
        </w:tc>
        <w:tc>
          <w:tcPr>
            <w:tcW w:w="0" w:type="auto"/>
            <w:hideMark/>
          </w:tcPr>
          <w:p w14:paraId="0224B7B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Partielle</w:t>
            </w:r>
          </w:p>
        </w:tc>
        <w:tc>
          <w:tcPr>
            <w:tcW w:w="0" w:type="auto"/>
            <w:hideMark/>
          </w:tcPr>
          <w:p w14:paraId="55A7E99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Cadastre accessible mais pas d’export ni références juridiques</w:t>
            </w:r>
          </w:p>
        </w:tc>
        <w:tc>
          <w:tcPr>
            <w:tcW w:w="0" w:type="auto"/>
            <w:hideMark/>
          </w:tcPr>
          <w:p w14:paraId="25B98CC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Ajouter références juridiques et fonction export</w:t>
            </w:r>
          </w:p>
        </w:tc>
        <w:tc>
          <w:tcPr>
            <w:tcW w:w="0" w:type="auto"/>
            <w:hideMark/>
          </w:tcPr>
          <w:p w14:paraId="5A5B1C0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 mois</w:t>
            </w:r>
          </w:p>
        </w:tc>
      </w:tr>
      <w:tr w:rsidR="00EC1474" w:rsidRPr="00240C99" w14:paraId="7C73CFB7" w14:textId="77777777" w:rsidTr="00D22BD5">
        <w:tc>
          <w:tcPr>
            <w:tcW w:w="0" w:type="auto"/>
            <w:shd w:val="clear" w:color="auto" w:fill="E2EFD9" w:themeFill="accent6" w:themeFillTint="33"/>
            <w:hideMark/>
          </w:tcPr>
          <w:p w14:paraId="0EC4E49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2.4 - Contrats (Pétrolier)</w:t>
            </w:r>
          </w:p>
        </w:tc>
        <w:tc>
          <w:tcPr>
            <w:tcW w:w="0" w:type="auto"/>
            <w:shd w:val="clear" w:color="auto" w:fill="E2EFD9" w:themeFill="accent6" w:themeFillTint="33"/>
            <w:hideMark/>
          </w:tcPr>
          <w:p w14:paraId="3282B2B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Pétrolier</w:t>
            </w:r>
          </w:p>
        </w:tc>
        <w:tc>
          <w:tcPr>
            <w:tcW w:w="0" w:type="auto"/>
            <w:shd w:val="clear" w:color="auto" w:fill="E2EFD9" w:themeFill="accent6" w:themeFillTint="33"/>
            <w:hideMark/>
          </w:tcPr>
          <w:p w14:paraId="5B0F47A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Non conforme</w:t>
            </w:r>
          </w:p>
        </w:tc>
        <w:tc>
          <w:tcPr>
            <w:tcW w:w="0" w:type="auto"/>
            <w:shd w:val="clear" w:color="auto" w:fill="E2EFD9" w:themeFill="accent6" w:themeFillTint="33"/>
            <w:hideMark/>
          </w:tcPr>
          <w:p w14:paraId="743DF4A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Aucun contrat publié post-2021 malgré obligation légale</w:t>
            </w:r>
          </w:p>
        </w:tc>
        <w:tc>
          <w:tcPr>
            <w:tcW w:w="0" w:type="auto"/>
            <w:shd w:val="clear" w:color="auto" w:fill="E2EFD9" w:themeFill="accent6" w:themeFillTint="33"/>
            <w:hideMark/>
          </w:tcPr>
          <w:p w14:paraId="07E013C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contrats intégralement, analyse juridique</w:t>
            </w:r>
          </w:p>
        </w:tc>
        <w:tc>
          <w:tcPr>
            <w:tcW w:w="0" w:type="auto"/>
            <w:shd w:val="clear" w:color="auto" w:fill="E2EFD9" w:themeFill="accent6" w:themeFillTint="33"/>
            <w:hideMark/>
          </w:tcPr>
          <w:p w14:paraId="3A6349B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4-6 mois</w:t>
            </w:r>
          </w:p>
        </w:tc>
      </w:tr>
      <w:tr w:rsidR="00EC1474" w:rsidRPr="00240C99" w14:paraId="60A5760B" w14:textId="77777777" w:rsidTr="00D22BD5">
        <w:tc>
          <w:tcPr>
            <w:tcW w:w="0" w:type="auto"/>
            <w:hideMark/>
          </w:tcPr>
          <w:p w14:paraId="01F4A48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2.4 - Contrats (Minier)</w:t>
            </w:r>
          </w:p>
        </w:tc>
        <w:tc>
          <w:tcPr>
            <w:tcW w:w="0" w:type="auto"/>
            <w:hideMark/>
          </w:tcPr>
          <w:p w14:paraId="2159A5D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w:t>
            </w:r>
          </w:p>
        </w:tc>
        <w:tc>
          <w:tcPr>
            <w:tcW w:w="0" w:type="auto"/>
            <w:hideMark/>
          </w:tcPr>
          <w:p w14:paraId="073C032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Partielle</w:t>
            </w:r>
          </w:p>
        </w:tc>
        <w:tc>
          <w:tcPr>
            <w:tcW w:w="0" w:type="auto"/>
            <w:hideMark/>
          </w:tcPr>
          <w:p w14:paraId="2452863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Actes publiés partiellement, absence avenants</w:t>
            </w:r>
          </w:p>
        </w:tc>
        <w:tc>
          <w:tcPr>
            <w:tcW w:w="0" w:type="auto"/>
            <w:hideMark/>
          </w:tcPr>
          <w:p w14:paraId="0CF33CD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tous actes, annexes et avenants</w:t>
            </w:r>
          </w:p>
        </w:tc>
        <w:tc>
          <w:tcPr>
            <w:tcW w:w="0" w:type="auto"/>
            <w:hideMark/>
          </w:tcPr>
          <w:p w14:paraId="6A72475E" w14:textId="407F474B"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w:t>
            </w:r>
            <w:r w:rsidR="00DB6AEA" w:rsidRPr="00240C99">
              <w:rPr>
                <w:rFonts w:ascii="Kohinoor Devanagari" w:eastAsia="Times New Roman" w:hAnsi="Kohinoor Devanagari" w:cs="Kohinoor Devanagari"/>
                <w:color w:val="000000" w:themeColor="text1"/>
                <w:kern w:val="0"/>
                <w:sz w:val="20"/>
                <w:szCs w:val="20"/>
                <w:lang w:eastAsia="fr-FR"/>
                <w14:ligatures w14:val="none"/>
              </w:rPr>
              <w:t>6</w:t>
            </w:r>
            <w:r w:rsidRPr="0075631F">
              <w:rPr>
                <w:rFonts w:ascii="Kohinoor Devanagari" w:eastAsia="Times New Roman" w:hAnsi="Kohinoor Devanagari" w:cs="Kohinoor Devanagari"/>
                <w:color w:val="000000" w:themeColor="text1"/>
                <w:kern w:val="0"/>
                <w:sz w:val="20"/>
                <w:szCs w:val="20"/>
                <w:lang w:eastAsia="fr-FR"/>
                <w14:ligatures w14:val="none"/>
              </w:rPr>
              <w:t xml:space="preserve"> mois</w:t>
            </w:r>
          </w:p>
        </w:tc>
      </w:tr>
      <w:tr w:rsidR="00EC1474" w:rsidRPr="00240C99" w14:paraId="53EFF87A" w14:textId="77777777" w:rsidTr="00D22BD5">
        <w:tc>
          <w:tcPr>
            <w:tcW w:w="0" w:type="auto"/>
            <w:shd w:val="clear" w:color="auto" w:fill="E2EFD9" w:themeFill="accent6" w:themeFillTint="33"/>
            <w:hideMark/>
          </w:tcPr>
          <w:p w14:paraId="46AE6E9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2.5 - Propriété effective</w:t>
            </w:r>
          </w:p>
        </w:tc>
        <w:tc>
          <w:tcPr>
            <w:tcW w:w="0" w:type="auto"/>
            <w:shd w:val="clear" w:color="auto" w:fill="E2EFD9" w:themeFill="accent6" w:themeFillTint="33"/>
            <w:hideMark/>
          </w:tcPr>
          <w:p w14:paraId="2CD68F7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3E49DF6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Très faible</w:t>
            </w:r>
          </w:p>
        </w:tc>
        <w:tc>
          <w:tcPr>
            <w:tcW w:w="0" w:type="auto"/>
            <w:shd w:val="clear" w:color="auto" w:fill="E2EFD9" w:themeFill="accent6" w:themeFillTint="33"/>
            <w:hideMark/>
          </w:tcPr>
          <w:p w14:paraId="330C6E3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Registre non accessible, absence lien avec cadastres</w:t>
            </w:r>
          </w:p>
        </w:tc>
        <w:tc>
          <w:tcPr>
            <w:tcW w:w="0" w:type="auto"/>
            <w:shd w:val="clear" w:color="auto" w:fill="E2EFD9" w:themeFill="accent6" w:themeFillTint="33"/>
            <w:hideMark/>
          </w:tcPr>
          <w:p w14:paraId="7EEC770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Ouvrir accès public registre BE, réduire seuil à 10%</w:t>
            </w:r>
          </w:p>
        </w:tc>
        <w:tc>
          <w:tcPr>
            <w:tcW w:w="0" w:type="auto"/>
            <w:shd w:val="clear" w:color="auto" w:fill="E2EFD9" w:themeFill="accent6" w:themeFillTint="33"/>
            <w:hideMark/>
          </w:tcPr>
          <w:p w14:paraId="50A0872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3-6 mois</w:t>
            </w:r>
          </w:p>
        </w:tc>
      </w:tr>
      <w:tr w:rsidR="00EC1474" w:rsidRPr="00240C99" w14:paraId="5140C74F" w14:textId="77777777" w:rsidTr="00D22BD5">
        <w:tc>
          <w:tcPr>
            <w:tcW w:w="0" w:type="auto"/>
            <w:hideMark/>
          </w:tcPr>
          <w:p w14:paraId="381C3E8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2.6 - Participation de l’État</w:t>
            </w:r>
          </w:p>
        </w:tc>
        <w:tc>
          <w:tcPr>
            <w:tcW w:w="0" w:type="auto"/>
            <w:hideMark/>
          </w:tcPr>
          <w:p w14:paraId="2E96C11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687979B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Très partielle</w:t>
            </w:r>
          </w:p>
        </w:tc>
        <w:tc>
          <w:tcPr>
            <w:tcW w:w="0" w:type="auto"/>
            <w:hideMark/>
          </w:tcPr>
          <w:p w14:paraId="173F922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financières des entreprises d'État insuffisantes et irrégulières</w:t>
            </w:r>
          </w:p>
        </w:tc>
        <w:tc>
          <w:tcPr>
            <w:tcW w:w="0" w:type="auto"/>
            <w:hideMark/>
          </w:tcPr>
          <w:p w14:paraId="7CD7149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Créer un portail dédié, publier états financiers</w:t>
            </w:r>
          </w:p>
        </w:tc>
        <w:tc>
          <w:tcPr>
            <w:tcW w:w="0" w:type="auto"/>
            <w:hideMark/>
          </w:tcPr>
          <w:p w14:paraId="623D118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6-9 mois</w:t>
            </w:r>
          </w:p>
        </w:tc>
      </w:tr>
      <w:tr w:rsidR="00EC1474" w:rsidRPr="00240C99" w14:paraId="5B20FAA6" w14:textId="77777777" w:rsidTr="00D22BD5">
        <w:tc>
          <w:tcPr>
            <w:tcW w:w="0" w:type="auto"/>
            <w:shd w:val="clear" w:color="auto" w:fill="E2EFD9" w:themeFill="accent6" w:themeFillTint="33"/>
            <w:hideMark/>
          </w:tcPr>
          <w:p w14:paraId="3D2B007C"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3.1 - Exploration</w:t>
            </w:r>
          </w:p>
        </w:tc>
        <w:tc>
          <w:tcPr>
            <w:tcW w:w="0" w:type="auto"/>
            <w:shd w:val="clear" w:color="auto" w:fill="E2EFD9" w:themeFill="accent6" w:themeFillTint="33"/>
            <w:hideMark/>
          </w:tcPr>
          <w:p w14:paraId="35BE664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64663B0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shd w:val="clear" w:color="auto" w:fill="E2EFD9" w:themeFill="accent6" w:themeFillTint="33"/>
            <w:hideMark/>
          </w:tcPr>
          <w:p w14:paraId="40F2A2A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Aucune donnée structurée récente</w:t>
            </w:r>
          </w:p>
        </w:tc>
        <w:tc>
          <w:tcPr>
            <w:tcW w:w="0" w:type="auto"/>
            <w:shd w:val="clear" w:color="auto" w:fill="E2EFD9" w:themeFill="accent6" w:themeFillTint="33"/>
            <w:hideMark/>
          </w:tcPr>
          <w:p w14:paraId="3757B6B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Réactiver rubriques exploration sur sites web SNH/MINMIDT</w:t>
            </w:r>
          </w:p>
        </w:tc>
        <w:tc>
          <w:tcPr>
            <w:tcW w:w="0" w:type="auto"/>
            <w:shd w:val="clear" w:color="auto" w:fill="E2EFD9" w:themeFill="accent6" w:themeFillTint="33"/>
            <w:hideMark/>
          </w:tcPr>
          <w:p w14:paraId="3B096B9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3-6 mois</w:t>
            </w:r>
          </w:p>
        </w:tc>
      </w:tr>
      <w:tr w:rsidR="00EC1474" w:rsidRPr="00240C99" w14:paraId="159748F0" w14:textId="77777777" w:rsidTr="00D22BD5">
        <w:tc>
          <w:tcPr>
            <w:tcW w:w="0" w:type="auto"/>
            <w:hideMark/>
          </w:tcPr>
          <w:p w14:paraId="1B3CA50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lastRenderedPageBreak/>
              <w:t>3.2 - Production</w:t>
            </w:r>
          </w:p>
        </w:tc>
        <w:tc>
          <w:tcPr>
            <w:tcW w:w="0" w:type="auto"/>
            <w:hideMark/>
          </w:tcPr>
          <w:p w14:paraId="00938E2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37C23AA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Moyenne (pétrole), faible (minier)</w:t>
            </w:r>
          </w:p>
        </w:tc>
        <w:tc>
          <w:tcPr>
            <w:tcW w:w="0" w:type="auto"/>
            <w:hideMark/>
          </w:tcPr>
          <w:p w14:paraId="314FE3A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production non valorisées</w:t>
            </w:r>
          </w:p>
        </w:tc>
        <w:tc>
          <w:tcPr>
            <w:tcW w:w="0" w:type="auto"/>
            <w:hideMark/>
          </w:tcPr>
          <w:p w14:paraId="60DCF5E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données valorisées par projet, avec méthodologie</w:t>
            </w:r>
          </w:p>
        </w:tc>
        <w:tc>
          <w:tcPr>
            <w:tcW w:w="0" w:type="auto"/>
            <w:hideMark/>
          </w:tcPr>
          <w:p w14:paraId="17D1706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3-9 mois</w:t>
            </w:r>
          </w:p>
        </w:tc>
      </w:tr>
      <w:tr w:rsidR="00EC1474" w:rsidRPr="00240C99" w14:paraId="10245ABE" w14:textId="77777777" w:rsidTr="00D22BD5">
        <w:tc>
          <w:tcPr>
            <w:tcW w:w="0" w:type="auto"/>
            <w:shd w:val="clear" w:color="auto" w:fill="E2EFD9" w:themeFill="accent6" w:themeFillTint="33"/>
            <w:hideMark/>
          </w:tcPr>
          <w:p w14:paraId="67D5DC0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3.3 - Exportation</w:t>
            </w:r>
          </w:p>
        </w:tc>
        <w:tc>
          <w:tcPr>
            <w:tcW w:w="0" w:type="auto"/>
            <w:shd w:val="clear" w:color="auto" w:fill="E2EFD9" w:themeFill="accent6" w:themeFillTint="33"/>
            <w:hideMark/>
          </w:tcPr>
          <w:p w14:paraId="1266E54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10762AB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Très partielle</w:t>
            </w:r>
          </w:p>
        </w:tc>
        <w:tc>
          <w:tcPr>
            <w:tcW w:w="0" w:type="auto"/>
            <w:shd w:val="clear" w:color="auto" w:fill="E2EFD9" w:themeFill="accent6" w:themeFillTint="33"/>
            <w:hideMark/>
          </w:tcPr>
          <w:p w14:paraId="2050524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Peu de données désagrégées par transaction</w:t>
            </w:r>
          </w:p>
        </w:tc>
        <w:tc>
          <w:tcPr>
            <w:tcW w:w="0" w:type="auto"/>
            <w:shd w:val="clear" w:color="auto" w:fill="E2EFD9" w:themeFill="accent6" w:themeFillTint="33"/>
            <w:hideMark/>
          </w:tcPr>
          <w:p w14:paraId="4470DA9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données transactionnelles désagrégées</w:t>
            </w:r>
          </w:p>
        </w:tc>
        <w:tc>
          <w:tcPr>
            <w:tcW w:w="0" w:type="auto"/>
            <w:shd w:val="clear" w:color="auto" w:fill="E2EFD9" w:themeFill="accent6" w:themeFillTint="33"/>
            <w:hideMark/>
          </w:tcPr>
          <w:p w14:paraId="387F7FB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3-6 mois</w:t>
            </w:r>
          </w:p>
        </w:tc>
      </w:tr>
      <w:tr w:rsidR="00EC1474" w:rsidRPr="00240C99" w14:paraId="4308274A" w14:textId="77777777" w:rsidTr="00D22BD5">
        <w:tc>
          <w:tcPr>
            <w:tcW w:w="0" w:type="auto"/>
            <w:hideMark/>
          </w:tcPr>
          <w:p w14:paraId="5DB9E61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3.4 - Émissions GES</w:t>
            </w:r>
          </w:p>
        </w:tc>
        <w:tc>
          <w:tcPr>
            <w:tcW w:w="0" w:type="auto"/>
            <w:hideMark/>
          </w:tcPr>
          <w:p w14:paraId="3FBBF91C"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2950865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Très faible</w:t>
            </w:r>
          </w:p>
        </w:tc>
        <w:tc>
          <w:tcPr>
            <w:tcW w:w="0" w:type="auto"/>
            <w:hideMark/>
          </w:tcPr>
          <w:p w14:paraId="113E389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Absence de divulgation par entreprises</w:t>
            </w:r>
          </w:p>
        </w:tc>
        <w:tc>
          <w:tcPr>
            <w:tcW w:w="0" w:type="auto"/>
            <w:hideMark/>
          </w:tcPr>
          <w:p w14:paraId="1B0D6D7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Encourager publication bilan carbone entreprise, intégrer à ITIE</w:t>
            </w:r>
          </w:p>
        </w:tc>
        <w:tc>
          <w:tcPr>
            <w:tcW w:w="0" w:type="auto"/>
            <w:hideMark/>
          </w:tcPr>
          <w:p w14:paraId="6D2D570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6-12 mois</w:t>
            </w:r>
          </w:p>
        </w:tc>
      </w:tr>
      <w:tr w:rsidR="00EC1474" w:rsidRPr="00240C99" w14:paraId="643BB1B5" w14:textId="77777777" w:rsidTr="00D22BD5">
        <w:tc>
          <w:tcPr>
            <w:tcW w:w="0" w:type="auto"/>
            <w:shd w:val="clear" w:color="auto" w:fill="E2EFD9" w:themeFill="accent6" w:themeFillTint="33"/>
            <w:hideMark/>
          </w:tcPr>
          <w:p w14:paraId="2AD81C5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4.1 - Taxes et revenus</w:t>
            </w:r>
          </w:p>
        </w:tc>
        <w:tc>
          <w:tcPr>
            <w:tcW w:w="0" w:type="auto"/>
            <w:shd w:val="clear" w:color="auto" w:fill="E2EFD9" w:themeFill="accent6" w:themeFillTint="33"/>
            <w:hideMark/>
          </w:tcPr>
          <w:p w14:paraId="3FC358D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4434354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shd w:val="clear" w:color="auto" w:fill="E2EFD9" w:themeFill="accent6" w:themeFillTint="33"/>
            <w:hideMark/>
          </w:tcPr>
          <w:p w14:paraId="21EBCFD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Manque de données centralisées, faible interopérabilité</w:t>
            </w:r>
          </w:p>
        </w:tc>
        <w:tc>
          <w:tcPr>
            <w:tcW w:w="0" w:type="auto"/>
            <w:shd w:val="clear" w:color="auto" w:fill="E2EFD9" w:themeFill="accent6" w:themeFillTint="33"/>
            <w:hideMark/>
          </w:tcPr>
          <w:p w14:paraId="6E911AA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Créer base centralisée paiements extractifs</w:t>
            </w:r>
          </w:p>
        </w:tc>
        <w:tc>
          <w:tcPr>
            <w:tcW w:w="0" w:type="auto"/>
            <w:shd w:val="clear" w:color="auto" w:fill="E2EFD9" w:themeFill="accent6" w:themeFillTint="33"/>
            <w:hideMark/>
          </w:tcPr>
          <w:p w14:paraId="4FB9928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12-18 mois</w:t>
            </w:r>
          </w:p>
        </w:tc>
      </w:tr>
      <w:tr w:rsidR="00EC1474" w:rsidRPr="00240C99" w14:paraId="3A201257" w14:textId="77777777" w:rsidTr="00D22BD5">
        <w:tc>
          <w:tcPr>
            <w:tcW w:w="0" w:type="auto"/>
            <w:hideMark/>
          </w:tcPr>
          <w:p w14:paraId="611D4DE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4.2 - Revenus en nature</w:t>
            </w:r>
          </w:p>
        </w:tc>
        <w:tc>
          <w:tcPr>
            <w:tcW w:w="0" w:type="auto"/>
            <w:hideMark/>
          </w:tcPr>
          <w:p w14:paraId="3C43BA3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0D4BBB8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Moyenne (pétrole), absente (minier)</w:t>
            </w:r>
          </w:p>
        </w:tc>
        <w:tc>
          <w:tcPr>
            <w:tcW w:w="0" w:type="auto"/>
            <w:hideMark/>
          </w:tcPr>
          <w:p w14:paraId="2D65107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partiellement ventilées (pétrole) ou absentes (mines)</w:t>
            </w:r>
          </w:p>
        </w:tc>
        <w:tc>
          <w:tcPr>
            <w:tcW w:w="0" w:type="auto"/>
            <w:hideMark/>
          </w:tcPr>
          <w:p w14:paraId="19348AF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Ventiler et publier systématiquement ces revenus</w:t>
            </w:r>
          </w:p>
        </w:tc>
        <w:tc>
          <w:tcPr>
            <w:tcW w:w="0" w:type="auto"/>
            <w:hideMark/>
          </w:tcPr>
          <w:p w14:paraId="0FC38C8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3-9 mois</w:t>
            </w:r>
          </w:p>
        </w:tc>
      </w:tr>
      <w:tr w:rsidR="00EC1474" w:rsidRPr="00240C99" w14:paraId="6F6C034A" w14:textId="77777777" w:rsidTr="00D22BD5">
        <w:tc>
          <w:tcPr>
            <w:tcW w:w="0" w:type="auto"/>
            <w:shd w:val="clear" w:color="auto" w:fill="E2EFD9" w:themeFill="accent6" w:themeFillTint="33"/>
            <w:hideMark/>
          </w:tcPr>
          <w:p w14:paraId="7B6C623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4.3 - Infrastructures et troc</w:t>
            </w:r>
          </w:p>
        </w:tc>
        <w:tc>
          <w:tcPr>
            <w:tcW w:w="0" w:type="auto"/>
            <w:shd w:val="clear" w:color="auto" w:fill="E2EFD9" w:themeFill="accent6" w:themeFillTint="33"/>
            <w:hideMark/>
          </w:tcPr>
          <w:p w14:paraId="0800537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0F8F99C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Absente</w:t>
            </w:r>
          </w:p>
        </w:tc>
        <w:tc>
          <w:tcPr>
            <w:tcW w:w="0" w:type="auto"/>
            <w:shd w:val="clear" w:color="auto" w:fill="E2EFD9" w:themeFill="accent6" w:themeFillTint="33"/>
            <w:hideMark/>
          </w:tcPr>
          <w:p w14:paraId="130B706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Aucune divulgation systématique</w:t>
            </w:r>
          </w:p>
        </w:tc>
        <w:tc>
          <w:tcPr>
            <w:tcW w:w="0" w:type="auto"/>
            <w:shd w:val="clear" w:color="auto" w:fill="E2EFD9" w:themeFill="accent6" w:themeFillTint="33"/>
            <w:hideMark/>
          </w:tcPr>
          <w:p w14:paraId="38E4556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Mettre en place base de données des engagements infrastructurels</w:t>
            </w:r>
          </w:p>
        </w:tc>
        <w:tc>
          <w:tcPr>
            <w:tcW w:w="0" w:type="auto"/>
            <w:shd w:val="clear" w:color="auto" w:fill="E2EFD9" w:themeFill="accent6" w:themeFillTint="33"/>
            <w:hideMark/>
          </w:tcPr>
          <w:p w14:paraId="2AADCB9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3-6 mois</w:t>
            </w:r>
          </w:p>
        </w:tc>
      </w:tr>
      <w:tr w:rsidR="00EC1474" w:rsidRPr="00240C99" w14:paraId="2BE29449" w14:textId="77777777" w:rsidTr="00D22BD5">
        <w:tc>
          <w:tcPr>
            <w:tcW w:w="0" w:type="auto"/>
            <w:hideMark/>
          </w:tcPr>
          <w:p w14:paraId="1DC7237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4.4 - Revenus transport</w:t>
            </w:r>
          </w:p>
        </w:tc>
        <w:tc>
          <w:tcPr>
            <w:tcW w:w="0" w:type="auto"/>
            <w:hideMark/>
          </w:tcPr>
          <w:p w14:paraId="7BA7A61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Pétrolier</w:t>
            </w:r>
          </w:p>
        </w:tc>
        <w:tc>
          <w:tcPr>
            <w:tcW w:w="0" w:type="auto"/>
            <w:hideMark/>
          </w:tcPr>
          <w:p w14:paraId="699C1D8B"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Absente</w:t>
            </w:r>
          </w:p>
        </w:tc>
        <w:tc>
          <w:tcPr>
            <w:tcW w:w="0" w:type="auto"/>
            <w:hideMark/>
          </w:tcPr>
          <w:p w14:paraId="25263F2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non divulguées</w:t>
            </w:r>
          </w:p>
        </w:tc>
        <w:tc>
          <w:tcPr>
            <w:tcW w:w="0" w:type="auto"/>
            <w:hideMark/>
          </w:tcPr>
          <w:p w14:paraId="4750A27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revenus issus du transport (COTCO)</w:t>
            </w:r>
          </w:p>
        </w:tc>
        <w:tc>
          <w:tcPr>
            <w:tcW w:w="0" w:type="auto"/>
            <w:hideMark/>
          </w:tcPr>
          <w:p w14:paraId="7B75820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6-9 mois</w:t>
            </w:r>
          </w:p>
        </w:tc>
      </w:tr>
      <w:tr w:rsidR="00EC1474" w:rsidRPr="00240C99" w14:paraId="6CC9EAA4" w14:textId="77777777" w:rsidTr="00D22BD5">
        <w:tc>
          <w:tcPr>
            <w:tcW w:w="0" w:type="auto"/>
            <w:shd w:val="clear" w:color="auto" w:fill="E2EFD9" w:themeFill="accent6" w:themeFillTint="33"/>
            <w:hideMark/>
          </w:tcPr>
          <w:p w14:paraId="2E5F85E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lastRenderedPageBreak/>
              <w:t>4.5 - Transactions entreprises État</w:t>
            </w:r>
          </w:p>
        </w:tc>
        <w:tc>
          <w:tcPr>
            <w:tcW w:w="0" w:type="auto"/>
            <w:shd w:val="clear" w:color="auto" w:fill="E2EFD9" w:themeFill="accent6" w:themeFillTint="33"/>
            <w:hideMark/>
          </w:tcPr>
          <w:p w14:paraId="21A05FB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2084817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Moyenne (SNH), faible (SONAMINES)</w:t>
            </w:r>
          </w:p>
        </w:tc>
        <w:tc>
          <w:tcPr>
            <w:tcW w:w="0" w:type="auto"/>
            <w:shd w:val="clear" w:color="auto" w:fill="E2EFD9" w:themeFill="accent6" w:themeFillTint="33"/>
            <w:hideMark/>
          </w:tcPr>
          <w:p w14:paraId="16677C7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partielles ou absentes selon SOE</w:t>
            </w:r>
          </w:p>
        </w:tc>
        <w:tc>
          <w:tcPr>
            <w:tcW w:w="0" w:type="auto"/>
            <w:shd w:val="clear" w:color="auto" w:fill="E2EFD9" w:themeFill="accent6" w:themeFillTint="33"/>
            <w:hideMark/>
          </w:tcPr>
          <w:p w14:paraId="1B1F7B1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EF audités, ventilations flux financiers</w:t>
            </w:r>
          </w:p>
        </w:tc>
        <w:tc>
          <w:tcPr>
            <w:tcW w:w="0" w:type="auto"/>
            <w:shd w:val="clear" w:color="auto" w:fill="E2EFD9" w:themeFill="accent6" w:themeFillTint="33"/>
            <w:hideMark/>
          </w:tcPr>
          <w:p w14:paraId="21C2C7C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3-12 mois</w:t>
            </w:r>
          </w:p>
        </w:tc>
      </w:tr>
      <w:tr w:rsidR="00EC1474" w:rsidRPr="00240C99" w14:paraId="3A10736C" w14:textId="77777777" w:rsidTr="00D22BD5">
        <w:tc>
          <w:tcPr>
            <w:tcW w:w="0" w:type="auto"/>
            <w:hideMark/>
          </w:tcPr>
          <w:p w14:paraId="193B7D2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4.6 - Paiements infranationaux</w:t>
            </w:r>
          </w:p>
        </w:tc>
        <w:tc>
          <w:tcPr>
            <w:tcW w:w="0" w:type="auto"/>
            <w:hideMark/>
          </w:tcPr>
          <w:p w14:paraId="1A3C360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12F1789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Non applicable</w:t>
            </w:r>
          </w:p>
        </w:tc>
        <w:tc>
          <w:tcPr>
            <w:tcW w:w="0" w:type="auto"/>
            <w:hideMark/>
          </w:tcPr>
          <w:p w14:paraId="54AD299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Centralisation au Trésor</w:t>
            </w:r>
          </w:p>
        </w:tc>
        <w:tc>
          <w:tcPr>
            <w:tcW w:w="0" w:type="auto"/>
            <w:hideMark/>
          </w:tcPr>
          <w:p w14:paraId="1220E6F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Clause de veille recommandée</w:t>
            </w:r>
          </w:p>
        </w:tc>
        <w:tc>
          <w:tcPr>
            <w:tcW w:w="0" w:type="auto"/>
            <w:hideMark/>
          </w:tcPr>
          <w:p w14:paraId="134A31A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Non applicable</w:t>
            </w:r>
          </w:p>
        </w:tc>
      </w:tr>
      <w:tr w:rsidR="00EC1474" w:rsidRPr="00240C99" w14:paraId="11DF5199" w14:textId="77777777" w:rsidTr="00D22BD5">
        <w:tc>
          <w:tcPr>
            <w:tcW w:w="0" w:type="auto"/>
            <w:shd w:val="clear" w:color="auto" w:fill="E2EFD9" w:themeFill="accent6" w:themeFillTint="33"/>
            <w:hideMark/>
          </w:tcPr>
          <w:p w14:paraId="2428BD9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4.10 - Coûts des projets</w:t>
            </w:r>
          </w:p>
        </w:tc>
        <w:tc>
          <w:tcPr>
            <w:tcW w:w="0" w:type="auto"/>
            <w:shd w:val="clear" w:color="auto" w:fill="E2EFD9" w:themeFill="accent6" w:themeFillTint="33"/>
            <w:hideMark/>
          </w:tcPr>
          <w:p w14:paraId="49FD3A8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12BAC7C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shd w:val="clear" w:color="auto" w:fill="E2EFD9" w:themeFill="accent6" w:themeFillTint="33"/>
            <w:hideMark/>
          </w:tcPr>
          <w:p w14:paraId="228FC1E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Audits fiscaux et coûts projets non publiés</w:t>
            </w:r>
          </w:p>
        </w:tc>
        <w:tc>
          <w:tcPr>
            <w:tcW w:w="0" w:type="auto"/>
            <w:shd w:val="clear" w:color="auto" w:fill="E2EFD9" w:themeFill="accent6" w:themeFillTint="33"/>
            <w:hideMark/>
          </w:tcPr>
          <w:p w14:paraId="000E071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Imposer publication systématique coûts/audits</w:t>
            </w:r>
          </w:p>
        </w:tc>
        <w:tc>
          <w:tcPr>
            <w:tcW w:w="0" w:type="auto"/>
            <w:shd w:val="clear" w:color="auto" w:fill="E2EFD9" w:themeFill="accent6" w:themeFillTint="33"/>
            <w:hideMark/>
          </w:tcPr>
          <w:p w14:paraId="3531FCB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6-12 mois</w:t>
            </w:r>
          </w:p>
        </w:tc>
      </w:tr>
      <w:tr w:rsidR="00EC1474" w:rsidRPr="00240C99" w14:paraId="419E6D83" w14:textId="77777777" w:rsidTr="00D22BD5">
        <w:tc>
          <w:tcPr>
            <w:tcW w:w="0" w:type="auto"/>
            <w:hideMark/>
          </w:tcPr>
          <w:p w14:paraId="3F4A18C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5.1 - Répartition revenus</w:t>
            </w:r>
          </w:p>
        </w:tc>
        <w:tc>
          <w:tcPr>
            <w:tcW w:w="0" w:type="auto"/>
            <w:hideMark/>
          </w:tcPr>
          <w:p w14:paraId="18A534A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14E0D00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hideMark/>
          </w:tcPr>
          <w:p w14:paraId="0F9906E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Absence ventilation spécifique revenus extractifs</w:t>
            </w:r>
          </w:p>
        </w:tc>
        <w:tc>
          <w:tcPr>
            <w:tcW w:w="0" w:type="auto"/>
            <w:hideMark/>
          </w:tcPr>
          <w:p w14:paraId="7CAA1FB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Intégrer ventilation revenus dans documents budgétaires</w:t>
            </w:r>
          </w:p>
        </w:tc>
        <w:tc>
          <w:tcPr>
            <w:tcW w:w="0" w:type="auto"/>
            <w:hideMark/>
          </w:tcPr>
          <w:p w14:paraId="258F5C8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6-12 mois</w:t>
            </w:r>
          </w:p>
        </w:tc>
      </w:tr>
      <w:tr w:rsidR="00EC1474" w:rsidRPr="00240C99" w14:paraId="3B8845FA" w14:textId="77777777" w:rsidTr="00D22BD5">
        <w:tc>
          <w:tcPr>
            <w:tcW w:w="0" w:type="auto"/>
            <w:shd w:val="clear" w:color="auto" w:fill="E2EFD9" w:themeFill="accent6" w:themeFillTint="33"/>
            <w:hideMark/>
          </w:tcPr>
          <w:p w14:paraId="75DC0AD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5.2 - Transferts infranationaux</w:t>
            </w:r>
          </w:p>
        </w:tc>
        <w:tc>
          <w:tcPr>
            <w:tcW w:w="0" w:type="auto"/>
            <w:shd w:val="clear" w:color="auto" w:fill="E2EFD9" w:themeFill="accent6" w:themeFillTint="33"/>
            <w:hideMark/>
          </w:tcPr>
          <w:p w14:paraId="1598A23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1B92DB6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shd w:val="clear" w:color="auto" w:fill="E2EFD9" w:themeFill="accent6" w:themeFillTint="33"/>
            <w:hideMark/>
          </w:tcPr>
          <w:p w14:paraId="6BF7378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Divulgation seulement via rapport ITIE</w:t>
            </w:r>
          </w:p>
        </w:tc>
        <w:tc>
          <w:tcPr>
            <w:tcW w:w="0" w:type="auto"/>
            <w:shd w:val="clear" w:color="auto" w:fill="E2EFD9" w:themeFill="accent6" w:themeFillTint="33"/>
            <w:hideMark/>
          </w:tcPr>
          <w:p w14:paraId="061A630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Créer tableau de bord interactif transferts CTD</w:t>
            </w:r>
          </w:p>
        </w:tc>
        <w:tc>
          <w:tcPr>
            <w:tcW w:w="0" w:type="auto"/>
            <w:shd w:val="clear" w:color="auto" w:fill="E2EFD9" w:themeFill="accent6" w:themeFillTint="33"/>
            <w:hideMark/>
          </w:tcPr>
          <w:p w14:paraId="3D56D34C"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4-9 mois</w:t>
            </w:r>
          </w:p>
        </w:tc>
      </w:tr>
      <w:tr w:rsidR="00EC1474" w:rsidRPr="00240C99" w14:paraId="4D26EC7D" w14:textId="77777777" w:rsidTr="00D22BD5">
        <w:tc>
          <w:tcPr>
            <w:tcW w:w="0" w:type="auto"/>
            <w:hideMark/>
          </w:tcPr>
          <w:p w14:paraId="75F157F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5.3 - Gestion revenus/dépenses</w:t>
            </w:r>
          </w:p>
        </w:tc>
        <w:tc>
          <w:tcPr>
            <w:tcW w:w="0" w:type="auto"/>
            <w:hideMark/>
          </w:tcPr>
          <w:p w14:paraId="46C992C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3E0FA3B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Moyenne</w:t>
            </w:r>
          </w:p>
        </w:tc>
        <w:tc>
          <w:tcPr>
            <w:tcW w:w="0" w:type="auto"/>
            <w:hideMark/>
          </w:tcPr>
          <w:p w14:paraId="7909A19D"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Documentation générale disponible, faible ventilation extractive</w:t>
            </w:r>
          </w:p>
        </w:tc>
        <w:tc>
          <w:tcPr>
            <w:tcW w:w="0" w:type="auto"/>
            <w:hideMark/>
          </w:tcPr>
          <w:p w14:paraId="0189EBF7"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Ajouter ventilation sectorielle dans documents budgétaires</w:t>
            </w:r>
          </w:p>
        </w:tc>
        <w:tc>
          <w:tcPr>
            <w:tcW w:w="0" w:type="auto"/>
            <w:hideMark/>
          </w:tcPr>
          <w:p w14:paraId="232E13D0"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4-6 mois</w:t>
            </w:r>
          </w:p>
        </w:tc>
      </w:tr>
      <w:tr w:rsidR="00EC1474" w:rsidRPr="00240C99" w14:paraId="36E735F5" w14:textId="77777777" w:rsidTr="00D22BD5">
        <w:tc>
          <w:tcPr>
            <w:tcW w:w="0" w:type="auto"/>
            <w:shd w:val="clear" w:color="auto" w:fill="E2EFD9" w:themeFill="accent6" w:themeFillTint="33"/>
            <w:hideMark/>
          </w:tcPr>
          <w:p w14:paraId="694B485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6.1 - Dépenses sociales/environnementales</w:t>
            </w:r>
          </w:p>
        </w:tc>
        <w:tc>
          <w:tcPr>
            <w:tcW w:w="0" w:type="auto"/>
            <w:shd w:val="clear" w:color="auto" w:fill="E2EFD9" w:themeFill="accent6" w:themeFillTint="33"/>
            <w:hideMark/>
          </w:tcPr>
          <w:p w14:paraId="0822C55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38F85F2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Absente</w:t>
            </w:r>
          </w:p>
        </w:tc>
        <w:tc>
          <w:tcPr>
            <w:tcW w:w="0" w:type="auto"/>
            <w:shd w:val="clear" w:color="auto" w:fill="E2EFD9" w:themeFill="accent6" w:themeFillTint="33"/>
            <w:hideMark/>
          </w:tcPr>
          <w:p w14:paraId="2B6689B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Aucune divulgation systématique</w:t>
            </w:r>
          </w:p>
        </w:tc>
        <w:tc>
          <w:tcPr>
            <w:tcW w:w="0" w:type="auto"/>
            <w:shd w:val="clear" w:color="auto" w:fill="E2EFD9" w:themeFill="accent6" w:themeFillTint="33"/>
            <w:hideMark/>
          </w:tcPr>
          <w:p w14:paraId="17BE470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Créer portail public dépenses sociales/environnementales</w:t>
            </w:r>
          </w:p>
        </w:tc>
        <w:tc>
          <w:tcPr>
            <w:tcW w:w="0" w:type="auto"/>
            <w:shd w:val="clear" w:color="auto" w:fill="E2EFD9" w:themeFill="accent6" w:themeFillTint="33"/>
            <w:hideMark/>
          </w:tcPr>
          <w:p w14:paraId="79B8136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6-9 mois</w:t>
            </w:r>
          </w:p>
        </w:tc>
      </w:tr>
      <w:tr w:rsidR="00EC1474" w:rsidRPr="00240C99" w14:paraId="5E2F5563" w14:textId="77777777" w:rsidTr="00D22BD5">
        <w:tc>
          <w:tcPr>
            <w:tcW w:w="0" w:type="auto"/>
            <w:hideMark/>
          </w:tcPr>
          <w:p w14:paraId="5F0DCB79"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6.2 - Dépenses quasi-budgétaires</w:t>
            </w:r>
          </w:p>
        </w:tc>
        <w:tc>
          <w:tcPr>
            <w:tcW w:w="0" w:type="auto"/>
            <w:hideMark/>
          </w:tcPr>
          <w:p w14:paraId="2F43C822"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56619EC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hideMark/>
          </w:tcPr>
          <w:p w14:paraId="7A14739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Absence interface pour suivi régulier</w:t>
            </w:r>
          </w:p>
        </w:tc>
        <w:tc>
          <w:tcPr>
            <w:tcW w:w="0" w:type="auto"/>
            <w:hideMark/>
          </w:tcPr>
          <w:p w14:paraId="7DA305AC"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systématiquement dépenses quasi-budgétaires SOE</w:t>
            </w:r>
          </w:p>
        </w:tc>
        <w:tc>
          <w:tcPr>
            <w:tcW w:w="0" w:type="auto"/>
            <w:hideMark/>
          </w:tcPr>
          <w:p w14:paraId="721DA31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12-18 mois</w:t>
            </w:r>
          </w:p>
        </w:tc>
      </w:tr>
      <w:tr w:rsidR="00EC1474" w:rsidRPr="00240C99" w14:paraId="7007CA27" w14:textId="77777777" w:rsidTr="00D22BD5">
        <w:tc>
          <w:tcPr>
            <w:tcW w:w="0" w:type="auto"/>
            <w:shd w:val="clear" w:color="auto" w:fill="E2EFD9" w:themeFill="accent6" w:themeFillTint="33"/>
            <w:hideMark/>
          </w:tcPr>
          <w:p w14:paraId="58EB9AB1"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lastRenderedPageBreak/>
              <w:t>6.3 - Contribution économique</w:t>
            </w:r>
          </w:p>
        </w:tc>
        <w:tc>
          <w:tcPr>
            <w:tcW w:w="0" w:type="auto"/>
            <w:shd w:val="clear" w:color="auto" w:fill="E2EFD9" w:themeFill="accent6" w:themeFillTint="33"/>
            <w:hideMark/>
          </w:tcPr>
          <w:p w14:paraId="619A6F6F"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shd w:val="clear" w:color="auto" w:fill="E2EFD9" w:themeFill="accent6" w:themeFillTint="33"/>
            <w:hideMark/>
          </w:tcPr>
          <w:p w14:paraId="7CB1EE2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Moyenne</w:t>
            </w:r>
          </w:p>
        </w:tc>
        <w:tc>
          <w:tcPr>
            <w:tcW w:w="0" w:type="auto"/>
            <w:shd w:val="clear" w:color="auto" w:fill="E2EFD9" w:themeFill="accent6" w:themeFillTint="33"/>
            <w:hideMark/>
          </w:tcPr>
          <w:p w14:paraId="510B5A6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Données macro publiées, mais pas désagrégées</w:t>
            </w:r>
          </w:p>
        </w:tc>
        <w:tc>
          <w:tcPr>
            <w:tcW w:w="0" w:type="auto"/>
            <w:shd w:val="clear" w:color="auto" w:fill="E2EFD9" w:themeFill="accent6" w:themeFillTint="33"/>
            <w:hideMark/>
          </w:tcPr>
          <w:p w14:paraId="3B977596"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données par entreprise, intégrer API</w:t>
            </w:r>
          </w:p>
        </w:tc>
        <w:tc>
          <w:tcPr>
            <w:tcW w:w="0" w:type="auto"/>
            <w:shd w:val="clear" w:color="auto" w:fill="E2EFD9" w:themeFill="accent6" w:themeFillTint="33"/>
            <w:hideMark/>
          </w:tcPr>
          <w:p w14:paraId="3C86CB5E"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6-12 mois</w:t>
            </w:r>
          </w:p>
        </w:tc>
      </w:tr>
      <w:tr w:rsidR="00EC1474" w:rsidRPr="00240C99" w14:paraId="7FB63EF1" w14:textId="77777777" w:rsidTr="00D22BD5">
        <w:tc>
          <w:tcPr>
            <w:tcW w:w="0" w:type="auto"/>
            <w:hideMark/>
          </w:tcPr>
          <w:p w14:paraId="75E3234A"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6.4 - Impacts environnementaux/sociaux</w:t>
            </w:r>
          </w:p>
        </w:tc>
        <w:tc>
          <w:tcPr>
            <w:tcW w:w="0" w:type="auto"/>
            <w:hideMark/>
          </w:tcPr>
          <w:p w14:paraId="25CDC81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Minier et pétrolier</w:t>
            </w:r>
          </w:p>
        </w:tc>
        <w:tc>
          <w:tcPr>
            <w:tcW w:w="0" w:type="auto"/>
            <w:hideMark/>
          </w:tcPr>
          <w:p w14:paraId="6281FE15"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Faible</w:t>
            </w:r>
          </w:p>
        </w:tc>
        <w:tc>
          <w:tcPr>
            <w:tcW w:w="0" w:type="auto"/>
            <w:hideMark/>
          </w:tcPr>
          <w:p w14:paraId="2FFD62C4"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Cadre juridique clair, documents opérationnels absents</w:t>
            </w:r>
          </w:p>
        </w:tc>
        <w:tc>
          <w:tcPr>
            <w:tcW w:w="0" w:type="auto"/>
            <w:hideMark/>
          </w:tcPr>
          <w:p w14:paraId="26C2CBB3"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Publier documents environnementaux par projet</w:t>
            </w:r>
          </w:p>
        </w:tc>
        <w:tc>
          <w:tcPr>
            <w:tcW w:w="0" w:type="auto"/>
            <w:hideMark/>
          </w:tcPr>
          <w:p w14:paraId="1A0D6B58" w14:textId="77777777" w:rsidR="00EC1474" w:rsidRPr="0075631F" w:rsidRDefault="00EC1474" w:rsidP="00D22BD5">
            <w:pPr>
              <w:spacing w:before="40" w:after="40"/>
              <w:jc w:val="both"/>
              <w:rPr>
                <w:rFonts w:ascii="Kohinoor Devanagari" w:eastAsia="Times New Roman" w:hAnsi="Kohinoor Devanagari" w:cs="Kohinoor Devanagari"/>
                <w:color w:val="000000" w:themeColor="text1"/>
                <w:kern w:val="0"/>
                <w:sz w:val="20"/>
                <w:szCs w:val="20"/>
                <w:lang w:eastAsia="fr-FR"/>
                <w14:ligatures w14:val="none"/>
              </w:rPr>
            </w:pPr>
            <w:r w:rsidRPr="0075631F">
              <w:rPr>
                <w:rFonts w:ascii="Kohinoor Devanagari" w:eastAsia="Times New Roman" w:hAnsi="Kohinoor Devanagari" w:cs="Kohinoor Devanagari"/>
                <w:color w:val="000000" w:themeColor="text1"/>
                <w:kern w:val="0"/>
                <w:sz w:val="20"/>
                <w:szCs w:val="20"/>
                <w:lang w:eastAsia="fr-FR"/>
                <w14:ligatures w14:val="none"/>
              </w:rPr>
              <w:t>6-18 mois</w:t>
            </w:r>
          </w:p>
        </w:tc>
      </w:tr>
    </w:tbl>
    <w:p w14:paraId="2416248E" w14:textId="697EF4DA" w:rsidR="00716E8B" w:rsidRPr="00240C99" w:rsidRDefault="00DB6AEA" w:rsidP="004F3B72">
      <w:pPr>
        <w:jc w:val="both"/>
        <w:rPr>
          <w:rFonts w:ascii="Kohinoor Devanagari" w:eastAsia="Times New Roman" w:hAnsi="Kohinoor Devanagari" w:cs="Kohinoor Devanagari"/>
          <w:color w:val="000000" w:themeColor="text1"/>
          <w:kern w:val="0"/>
          <w:sz w:val="20"/>
          <w:szCs w:val="20"/>
          <w:lang w:eastAsia="fr-FR"/>
          <w14:ligatures w14:val="none"/>
        </w:rPr>
      </w:pPr>
      <w:r w:rsidRPr="00240C99">
        <w:rPr>
          <w:rFonts w:ascii="Kohinoor Devanagari" w:eastAsia="Times New Roman" w:hAnsi="Kohinoor Devanagari" w:cs="Kohinoor Devanagari"/>
          <w:color w:val="000000" w:themeColor="text1"/>
          <w:kern w:val="0"/>
          <w:sz w:val="20"/>
          <w:szCs w:val="20"/>
          <w:lang w:eastAsia="fr-FR"/>
          <w14:ligatures w14:val="none"/>
        </w:rPr>
        <w:t xml:space="preserve">Le détail de l’évaluation est présenté en </w:t>
      </w:r>
      <w:r w:rsidRPr="00240C99">
        <w:rPr>
          <w:rFonts w:ascii="Kohinoor Devanagari" w:eastAsia="Times New Roman" w:hAnsi="Kohinoor Devanagari" w:cs="Kohinoor Devanagari"/>
          <w:b/>
          <w:bCs/>
          <w:color w:val="000000" w:themeColor="text1"/>
          <w:kern w:val="0"/>
          <w:sz w:val="20"/>
          <w:szCs w:val="20"/>
          <w:lang w:eastAsia="fr-FR"/>
          <w14:ligatures w14:val="none"/>
        </w:rPr>
        <w:t xml:space="preserve">annexe </w:t>
      </w:r>
      <w:r w:rsidR="003A3D4E">
        <w:rPr>
          <w:rFonts w:ascii="Kohinoor Devanagari" w:eastAsia="Times New Roman" w:hAnsi="Kohinoor Devanagari" w:cs="Kohinoor Devanagari"/>
          <w:b/>
          <w:bCs/>
          <w:color w:val="000000" w:themeColor="text1"/>
          <w:kern w:val="0"/>
          <w:sz w:val="20"/>
          <w:szCs w:val="20"/>
          <w:lang w:eastAsia="fr-FR"/>
          <w14:ligatures w14:val="none"/>
        </w:rPr>
        <w:t>9.3</w:t>
      </w:r>
      <w:r w:rsidRPr="00240C99">
        <w:rPr>
          <w:rFonts w:ascii="Kohinoor Devanagari" w:eastAsia="Times New Roman" w:hAnsi="Kohinoor Devanagari" w:cs="Kohinoor Devanagari"/>
          <w:b/>
          <w:bCs/>
          <w:color w:val="000000" w:themeColor="text1"/>
          <w:kern w:val="0"/>
          <w:sz w:val="20"/>
          <w:szCs w:val="20"/>
          <w:lang w:eastAsia="fr-FR"/>
          <w14:ligatures w14:val="none"/>
        </w:rPr>
        <w:t xml:space="preserve">. </w:t>
      </w:r>
    </w:p>
    <w:p w14:paraId="0722A9AD" w14:textId="565C39EB" w:rsidR="00D1219E" w:rsidRPr="009B3188" w:rsidRDefault="00D1219E" w:rsidP="00585AF2">
      <w:pPr>
        <w:rPr>
          <w:rFonts w:ascii="Kohinoor Devanagari" w:eastAsia="Times New Roman" w:hAnsi="Kohinoor Devanagari" w:cs="Kohinoor Devanagari"/>
          <w:color w:val="000000" w:themeColor="text1"/>
          <w:kern w:val="0"/>
          <w:lang w:eastAsia="fr-FR"/>
          <w14:ligatures w14:val="none"/>
        </w:rPr>
      </w:pPr>
      <w:r w:rsidRPr="009B3188">
        <w:rPr>
          <w:rFonts w:ascii="Kohinoor Devanagari" w:hAnsi="Kohinoor Devanagari" w:cs="Kohinoor Devanagari"/>
        </w:rPr>
        <w:br w:type="page"/>
      </w:r>
    </w:p>
    <w:p w14:paraId="4AFC3F2D" w14:textId="77777777" w:rsidR="00BA2165" w:rsidRPr="009B3188" w:rsidRDefault="00BA2165" w:rsidP="002945FE">
      <w:pPr>
        <w:spacing w:after="0" w:line="240" w:lineRule="auto"/>
        <w:rPr>
          <w:rFonts w:ascii="Kohinoor Devanagari" w:eastAsia="Times New Roman" w:hAnsi="Kohinoor Devanagari" w:cs="Kohinoor Devanagari"/>
          <w:color w:val="000000" w:themeColor="text1"/>
          <w:kern w:val="0"/>
          <w:lang w:eastAsia="fr-FR"/>
          <w14:ligatures w14:val="none"/>
        </w:rPr>
        <w:sectPr w:rsidR="00BA2165" w:rsidRPr="009B3188" w:rsidSect="00405547">
          <w:footerReference w:type="default" r:id="rId21"/>
          <w:pgSz w:w="16838" w:h="11906" w:orient="landscape"/>
          <w:pgMar w:top="1417" w:right="1417" w:bottom="1417" w:left="1417" w:header="708" w:footer="708" w:gutter="0"/>
          <w:cols w:space="708"/>
          <w:docGrid w:linePitch="360"/>
        </w:sectPr>
      </w:pPr>
    </w:p>
    <w:p w14:paraId="34E9E078" w14:textId="6A8DBD90" w:rsidR="00E019D7" w:rsidRPr="00240C99" w:rsidRDefault="00E019D7" w:rsidP="00240C99">
      <w:pPr>
        <w:pStyle w:val="Titre2"/>
        <w:numPr>
          <w:ilvl w:val="1"/>
          <w:numId w:val="8"/>
        </w:numPr>
        <w:spacing w:before="120" w:after="120" w:line="240" w:lineRule="auto"/>
        <w:ind w:left="850" w:hanging="493"/>
        <w:rPr>
          <w:rFonts w:ascii="Kohinoor Devanagari" w:eastAsia="Times New Roman" w:hAnsi="Kohinoor Devanagari" w:cs="Kohinoor Devanagari"/>
          <w:b/>
          <w:bCs/>
          <w:color w:val="000000" w:themeColor="text1"/>
          <w:sz w:val="20"/>
          <w:szCs w:val="20"/>
          <w:lang w:eastAsia="fr-FR"/>
        </w:rPr>
      </w:pPr>
      <w:bookmarkStart w:id="21" w:name="_Toc164327754"/>
      <w:bookmarkStart w:id="22" w:name="_Toc164327904"/>
      <w:bookmarkStart w:id="23" w:name="_Toc164328028"/>
      <w:bookmarkStart w:id="24" w:name="_Toc164328161"/>
      <w:bookmarkStart w:id="25" w:name="_Toc164339579"/>
      <w:bookmarkStart w:id="26" w:name="_Toc164340045"/>
      <w:bookmarkStart w:id="27" w:name="_Toc204691614"/>
      <w:bookmarkEnd w:id="21"/>
      <w:bookmarkEnd w:id="22"/>
      <w:bookmarkEnd w:id="23"/>
      <w:bookmarkEnd w:id="24"/>
      <w:bookmarkEnd w:id="25"/>
      <w:bookmarkEnd w:id="26"/>
      <w:r w:rsidRPr="00240C99">
        <w:rPr>
          <w:rFonts w:ascii="Kohinoor Devanagari" w:eastAsia="Times New Roman" w:hAnsi="Kohinoor Devanagari" w:cs="Kohinoor Devanagari"/>
          <w:b/>
          <w:bCs/>
          <w:color w:val="000000" w:themeColor="text1"/>
          <w:sz w:val="20"/>
          <w:szCs w:val="20"/>
          <w:lang w:eastAsia="fr-FR"/>
        </w:rPr>
        <w:lastRenderedPageBreak/>
        <w:t xml:space="preserve">Cartographie </w:t>
      </w:r>
      <w:r w:rsidR="004A7E09" w:rsidRPr="00240C99">
        <w:rPr>
          <w:rFonts w:ascii="Kohinoor Devanagari" w:eastAsia="Times New Roman" w:hAnsi="Kohinoor Devanagari" w:cs="Kohinoor Devanagari"/>
          <w:b/>
          <w:bCs/>
          <w:color w:val="000000" w:themeColor="text1"/>
          <w:sz w:val="20"/>
          <w:szCs w:val="20"/>
          <w:lang w:eastAsia="fr-FR"/>
        </w:rPr>
        <w:t xml:space="preserve">des supports de traitement et de divulgation des données </w:t>
      </w:r>
      <w:r w:rsidR="001E6B36" w:rsidRPr="00240C99">
        <w:rPr>
          <w:rFonts w:ascii="Kohinoor Devanagari" w:eastAsia="Times New Roman" w:hAnsi="Kohinoor Devanagari" w:cs="Kohinoor Devanagari"/>
          <w:b/>
          <w:bCs/>
          <w:color w:val="000000" w:themeColor="text1"/>
          <w:sz w:val="20"/>
          <w:szCs w:val="20"/>
          <w:lang w:eastAsia="fr-FR"/>
        </w:rPr>
        <w:t>ITIE</w:t>
      </w:r>
      <w:bookmarkEnd w:id="27"/>
    </w:p>
    <w:p w14:paraId="4DD6D304" w14:textId="0402A764" w:rsidR="00A40F12" w:rsidRPr="00240C99" w:rsidRDefault="00A40F12" w:rsidP="00240C99">
      <w:pPr>
        <w:spacing w:before="120" w:after="120" w:line="240" w:lineRule="auto"/>
        <w:jc w:val="both"/>
        <w:rPr>
          <w:rFonts w:ascii="Kohinoor Devanagari" w:hAnsi="Kohinoor Devanagari" w:cs="Kohinoor Devanagari"/>
          <w:b/>
          <w:bCs/>
          <w:sz w:val="20"/>
          <w:szCs w:val="20"/>
          <w:lang w:eastAsia="fr-FR"/>
        </w:rPr>
      </w:pPr>
      <w:r w:rsidRPr="00240C99">
        <w:rPr>
          <w:rFonts w:ascii="Kohinoor Devanagari" w:hAnsi="Kohinoor Devanagari" w:cs="Kohinoor Devanagari"/>
          <w:sz w:val="20"/>
          <w:szCs w:val="20"/>
          <w:lang w:eastAsia="fr-FR"/>
        </w:rPr>
        <w:t xml:space="preserve">Cette section propose une revue des </w:t>
      </w:r>
      <w:r w:rsidR="00D10F12" w:rsidRPr="00240C99">
        <w:rPr>
          <w:rFonts w:ascii="Kohinoor Devanagari" w:hAnsi="Kohinoor Devanagari" w:cs="Kohinoor Devanagari"/>
          <w:sz w:val="20"/>
          <w:szCs w:val="20"/>
          <w:lang w:eastAsia="fr-FR"/>
        </w:rPr>
        <w:t xml:space="preserve">principaux </w:t>
      </w:r>
      <w:r w:rsidRPr="00240C99">
        <w:rPr>
          <w:rFonts w:ascii="Kohinoor Devanagari" w:hAnsi="Kohinoor Devanagari" w:cs="Kohinoor Devanagari"/>
          <w:sz w:val="20"/>
          <w:szCs w:val="20"/>
          <w:lang w:eastAsia="fr-FR"/>
        </w:rPr>
        <w:t xml:space="preserve">systèmes et portails à travers lesquels les données liées aux industries extractives sont collectées, traitées et divulguées au Cameroun. Elle distingue les supports internes utilisés par les administrations pour la gestion financière, les plateformes sectorielles de publication de données, et les initiatives ouvertes promouvant l’accès public aux données ITIE. L’analyse met en lumière les bonnes pratiques, les limites actuelles et les opportunités pour renforcer </w:t>
      </w:r>
      <w:r w:rsidRPr="00240C99">
        <w:rPr>
          <w:rFonts w:ascii="Kohinoor Devanagari" w:hAnsi="Kohinoor Devanagari" w:cs="Kohinoor Devanagari"/>
          <w:b/>
          <w:bCs/>
          <w:sz w:val="20"/>
          <w:szCs w:val="20"/>
          <w:lang w:eastAsia="fr-FR"/>
        </w:rPr>
        <w:t>la divulgation systématique.</w:t>
      </w:r>
    </w:p>
    <w:p w14:paraId="00858957" w14:textId="6E26461D" w:rsidR="00DB6AEA" w:rsidRPr="00240C99" w:rsidRDefault="00DE3C49" w:rsidP="00240C99">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Systèmes de gestion et de traitement des données financières des régies</w:t>
      </w:r>
    </w:p>
    <w:p w14:paraId="39C4A546" w14:textId="3FE3363F" w:rsidR="00DB6AEA" w:rsidRPr="00240C99" w:rsidRDefault="00F32ECF" w:rsidP="00240C99">
      <w:pPr>
        <w:spacing w:before="120" w:after="120" w:line="240" w:lineRule="auto"/>
        <w:rPr>
          <w:rFonts w:ascii="Kohinoor Devanagari" w:hAnsi="Kohinoor Devanagari" w:cs="Kohinoor Devanagari"/>
          <w:sz w:val="20"/>
          <w:szCs w:val="20"/>
          <w:lang w:eastAsia="fr-FR"/>
        </w:rPr>
      </w:pPr>
      <w:r w:rsidRPr="00240C99">
        <w:rPr>
          <w:rFonts w:ascii="Kohinoor Devanagari" w:hAnsi="Kohinoor Devanagari" w:cs="Kohinoor Devanagari"/>
          <w:sz w:val="20"/>
          <w:szCs w:val="20"/>
          <w:lang w:eastAsia="fr-FR"/>
        </w:rPr>
        <w:t>Les régies financières (DGI, DGD, DGT</w:t>
      </w:r>
      <w:r w:rsidR="00C02CD1" w:rsidRPr="00240C99">
        <w:rPr>
          <w:rFonts w:ascii="Kohinoor Devanagari" w:hAnsi="Kohinoor Devanagari" w:cs="Kohinoor Devanagari"/>
          <w:sz w:val="20"/>
          <w:szCs w:val="20"/>
          <w:lang w:eastAsia="fr-FR"/>
        </w:rPr>
        <w:t>CFM</w:t>
      </w:r>
      <w:r w:rsidRPr="00240C99">
        <w:rPr>
          <w:rFonts w:ascii="Kohinoor Devanagari" w:hAnsi="Kohinoor Devanagari" w:cs="Kohinoor Devanagari"/>
          <w:sz w:val="20"/>
          <w:szCs w:val="20"/>
          <w:lang w:eastAsia="fr-FR"/>
        </w:rPr>
        <w:t>) disposent de systèmes intégrés qui permettent le suivi des paiements et recettes issus du secteur extractif. Ces systèmes ne sont toutefois pas directement mobilisés à ce jour pour la divulgation publique hors du cadre des rapports ITIE.</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1549"/>
        <w:gridCol w:w="1554"/>
        <w:gridCol w:w="1590"/>
        <w:gridCol w:w="1554"/>
        <w:gridCol w:w="1448"/>
      </w:tblGrid>
      <w:tr w:rsidR="00323431" w:rsidRPr="00240C99" w14:paraId="73EA4AD6" w14:textId="77777777" w:rsidTr="00323431">
        <w:tc>
          <w:tcPr>
            <w:tcW w:w="758" w:type="pct"/>
            <w:shd w:val="clear" w:color="auto" w:fill="47626F"/>
            <w:hideMark/>
          </w:tcPr>
          <w:p w14:paraId="38DB8762" w14:textId="77777777" w:rsidR="00086D6C" w:rsidRPr="00086D6C" w:rsidRDefault="00086D6C" w:rsidP="00323431">
            <w:pPr>
              <w:spacing w:before="40" w:after="40"/>
              <w:rPr>
                <w:rFonts w:ascii="Kohinoor Devanagari" w:hAnsi="Kohinoor Devanagari" w:cs="Kohinoor Devanagari"/>
                <w:b/>
                <w:bCs/>
                <w:color w:val="FFFFFF" w:themeColor="background1"/>
                <w:sz w:val="20"/>
                <w:szCs w:val="20"/>
              </w:rPr>
            </w:pPr>
            <w:r w:rsidRPr="00086D6C">
              <w:rPr>
                <w:rFonts w:ascii="Kohinoor Devanagari" w:hAnsi="Kohinoor Devanagari" w:cs="Kohinoor Devanagari"/>
                <w:b/>
                <w:bCs/>
                <w:color w:val="FFFFFF" w:themeColor="background1"/>
                <w:sz w:val="20"/>
                <w:szCs w:val="20"/>
              </w:rPr>
              <w:t>Système</w:t>
            </w:r>
          </w:p>
        </w:tc>
        <w:tc>
          <w:tcPr>
            <w:tcW w:w="854" w:type="pct"/>
            <w:shd w:val="clear" w:color="auto" w:fill="47626F"/>
            <w:hideMark/>
          </w:tcPr>
          <w:p w14:paraId="58E584DB" w14:textId="77777777" w:rsidR="00086D6C" w:rsidRPr="00086D6C" w:rsidRDefault="00086D6C" w:rsidP="00323431">
            <w:pPr>
              <w:spacing w:before="40" w:after="40"/>
              <w:rPr>
                <w:rFonts w:ascii="Kohinoor Devanagari" w:hAnsi="Kohinoor Devanagari" w:cs="Kohinoor Devanagari"/>
                <w:b/>
                <w:bCs/>
                <w:color w:val="FFFFFF" w:themeColor="background1"/>
                <w:sz w:val="20"/>
                <w:szCs w:val="20"/>
              </w:rPr>
            </w:pPr>
            <w:r w:rsidRPr="00086D6C">
              <w:rPr>
                <w:rFonts w:ascii="Kohinoor Devanagari" w:hAnsi="Kohinoor Devanagari" w:cs="Kohinoor Devanagari"/>
                <w:b/>
                <w:bCs/>
                <w:color w:val="FFFFFF" w:themeColor="background1"/>
                <w:sz w:val="20"/>
                <w:szCs w:val="20"/>
              </w:rPr>
              <w:t>Administration</w:t>
            </w:r>
          </w:p>
        </w:tc>
        <w:tc>
          <w:tcPr>
            <w:tcW w:w="856" w:type="pct"/>
            <w:shd w:val="clear" w:color="auto" w:fill="47626F"/>
            <w:hideMark/>
          </w:tcPr>
          <w:p w14:paraId="78269F9F" w14:textId="77777777" w:rsidR="00086D6C" w:rsidRPr="00086D6C" w:rsidRDefault="00086D6C" w:rsidP="00323431">
            <w:pPr>
              <w:spacing w:before="40" w:after="40"/>
              <w:rPr>
                <w:rFonts w:ascii="Kohinoor Devanagari" w:hAnsi="Kohinoor Devanagari" w:cs="Kohinoor Devanagari"/>
                <w:b/>
                <w:bCs/>
                <w:color w:val="FFFFFF" w:themeColor="background1"/>
                <w:sz w:val="20"/>
                <w:szCs w:val="20"/>
              </w:rPr>
            </w:pPr>
            <w:r w:rsidRPr="00086D6C">
              <w:rPr>
                <w:rFonts w:ascii="Kohinoor Devanagari" w:hAnsi="Kohinoor Devanagari" w:cs="Kohinoor Devanagari"/>
                <w:b/>
                <w:bCs/>
                <w:color w:val="FFFFFF" w:themeColor="background1"/>
                <w:sz w:val="20"/>
                <w:szCs w:val="20"/>
              </w:rPr>
              <w:t>Fonction</w:t>
            </w:r>
          </w:p>
        </w:tc>
        <w:tc>
          <w:tcPr>
            <w:tcW w:w="877" w:type="pct"/>
            <w:shd w:val="clear" w:color="auto" w:fill="47626F"/>
            <w:hideMark/>
          </w:tcPr>
          <w:p w14:paraId="7CC67D56" w14:textId="77777777" w:rsidR="00086D6C" w:rsidRPr="00086D6C" w:rsidRDefault="00086D6C" w:rsidP="00323431">
            <w:pPr>
              <w:spacing w:before="40" w:after="40"/>
              <w:rPr>
                <w:rFonts w:ascii="Kohinoor Devanagari" w:hAnsi="Kohinoor Devanagari" w:cs="Kohinoor Devanagari"/>
                <w:b/>
                <w:bCs/>
                <w:color w:val="FFFFFF" w:themeColor="background1"/>
                <w:sz w:val="20"/>
                <w:szCs w:val="20"/>
              </w:rPr>
            </w:pPr>
            <w:r w:rsidRPr="00086D6C">
              <w:rPr>
                <w:rFonts w:ascii="Kohinoor Devanagari" w:hAnsi="Kohinoor Devanagari" w:cs="Kohinoor Devanagari"/>
                <w:b/>
                <w:bCs/>
                <w:color w:val="FFFFFF" w:themeColor="background1"/>
                <w:sz w:val="20"/>
                <w:szCs w:val="20"/>
              </w:rPr>
              <w:t>Interconnexion</w:t>
            </w:r>
          </w:p>
        </w:tc>
        <w:tc>
          <w:tcPr>
            <w:tcW w:w="856" w:type="pct"/>
            <w:shd w:val="clear" w:color="auto" w:fill="47626F"/>
            <w:hideMark/>
          </w:tcPr>
          <w:p w14:paraId="65C33FB4" w14:textId="77777777" w:rsidR="00086D6C" w:rsidRPr="00086D6C" w:rsidRDefault="00086D6C" w:rsidP="00323431">
            <w:pPr>
              <w:spacing w:before="40" w:after="40"/>
              <w:rPr>
                <w:rFonts w:ascii="Kohinoor Devanagari" w:hAnsi="Kohinoor Devanagari" w:cs="Kohinoor Devanagari"/>
                <w:b/>
                <w:bCs/>
                <w:color w:val="FFFFFF" w:themeColor="background1"/>
                <w:sz w:val="20"/>
                <w:szCs w:val="20"/>
              </w:rPr>
            </w:pPr>
            <w:r w:rsidRPr="00086D6C">
              <w:rPr>
                <w:rFonts w:ascii="Kohinoor Devanagari" w:hAnsi="Kohinoor Devanagari" w:cs="Kohinoor Devanagari"/>
                <w:b/>
                <w:bCs/>
                <w:color w:val="FFFFFF" w:themeColor="background1"/>
                <w:sz w:val="20"/>
                <w:szCs w:val="20"/>
              </w:rPr>
              <w:t>Potentialité ITIE</w:t>
            </w:r>
          </w:p>
        </w:tc>
        <w:tc>
          <w:tcPr>
            <w:tcW w:w="798" w:type="pct"/>
            <w:shd w:val="clear" w:color="auto" w:fill="47626F"/>
            <w:hideMark/>
          </w:tcPr>
          <w:p w14:paraId="0E6FD926" w14:textId="77777777" w:rsidR="00086D6C" w:rsidRPr="00086D6C" w:rsidRDefault="00086D6C" w:rsidP="00323431">
            <w:pPr>
              <w:spacing w:before="40" w:after="40"/>
              <w:rPr>
                <w:rFonts w:ascii="Kohinoor Devanagari" w:hAnsi="Kohinoor Devanagari" w:cs="Kohinoor Devanagari"/>
                <w:b/>
                <w:bCs/>
                <w:color w:val="FFFFFF" w:themeColor="background1"/>
                <w:sz w:val="20"/>
                <w:szCs w:val="20"/>
              </w:rPr>
            </w:pPr>
            <w:r w:rsidRPr="00086D6C">
              <w:rPr>
                <w:rFonts w:ascii="Kohinoor Devanagari" w:hAnsi="Kohinoor Devanagari" w:cs="Kohinoor Devanagari"/>
                <w:b/>
                <w:bCs/>
                <w:color w:val="FFFFFF" w:themeColor="background1"/>
                <w:sz w:val="20"/>
                <w:szCs w:val="20"/>
              </w:rPr>
              <w:t>Observations</w:t>
            </w:r>
          </w:p>
        </w:tc>
      </w:tr>
      <w:tr w:rsidR="00323431" w:rsidRPr="00240C99" w14:paraId="6BB28F97" w14:textId="77777777" w:rsidTr="00323431">
        <w:tc>
          <w:tcPr>
            <w:tcW w:w="758" w:type="pct"/>
            <w:hideMark/>
          </w:tcPr>
          <w:p w14:paraId="7E45F13E" w14:textId="77777777" w:rsidR="00086D6C" w:rsidRPr="00086D6C" w:rsidRDefault="00086D6C" w:rsidP="00323431">
            <w:pPr>
              <w:spacing w:before="40" w:after="40"/>
              <w:rPr>
                <w:rFonts w:ascii="Kohinoor Devanagari" w:hAnsi="Kohinoor Devanagari" w:cs="Kohinoor Devanagari"/>
                <w:sz w:val="18"/>
                <w:szCs w:val="18"/>
              </w:rPr>
            </w:pPr>
            <w:r w:rsidRPr="00086D6C">
              <w:rPr>
                <w:rFonts w:ascii="Kohinoor Devanagari" w:hAnsi="Kohinoor Devanagari" w:cs="Kohinoor Devanagari"/>
                <w:b/>
                <w:bCs/>
                <w:sz w:val="18"/>
                <w:szCs w:val="18"/>
              </w:rPr>
              <w:t>HARMONIES</w:t>
            </w:r>
          </w:p>
        </w:tc>
        <w:tc>
          <w:tcPr>
            <w:tcW w:w="854" w:type="pct"/>
            <w:hideMark/>
          </w:tcPr>
          <w:p w14:paraId="5C44E151"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DGI</w:t>
            </w:r>
          </w:p>
        </w:tc>
        <w:tc>
          <w:tcPr>
            <w:tcW w:w="856" w:type="pct"/>
            <w:hideMark/>
          </w:tcPr>
          <w:p w14:paraId="5984BBC3"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Suivi des obligations fiscales</w:t>
            </w:r>
          </w:p>
        </w:tc>
        <w:tc>
          <w:tcPr>
            <w:tcW w:w="877" w:type="pct"/>
            <w:hideMark/>
          </w:tcPr>
          <w:p w14:paraId="542411CA"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Connecté à PATRIMONIE</w:t>
            </w:r>
          </w:p>
        </w:tc>
        <w:tc>
          <w:tcPr>
            <w:tcW w:w="856" w:type="pct"/>
            <w:hideMark/>
          </w:tcPr>
          <w:p w14:paraId="06CB4615" w14:textId="54C5477B"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 xml:space="preserve">Suivi des paiements </w:t>
            </w:r>
            <w:r w:rsidR="009A30A0" w:rsidRPr="00240C99">
              <w:rPr>
                <w:rFonts w:ascii="Kohinoor Devanagari" w:hAnsi="Kohinoor Devanagari" w:cs="Kohinoor Devanagari"/>
                <w:sz w:val="20"/>
                <w:szCs w:val="20"/>
              </w:rPr>
              <w:t xml:space="preserve">fiscaux </w:t>
            </w:r>
            <w:r w:rsidRPr="00086D6C">
              <w:rPr>
                <w:rFonts w:ascii="Kohinoor Devanagari" w:hAnsi="Kohinoor Devanagari" w:cs="Kohinoor Devanagari"/>
                <w:sz w:val="20"/>
                <w:szCs w:val="20"/>
              </w:rPr>
              <w:t>par contribuable</w:t>
            </w:r>
          </w:p>
        </w:tc>
        <w:tc>
          <w:tcPr>
            <w:tcW w:w="798" w:type="pct"/>
            <w:hideMark/>
          </w:tcPr>
          <w:p w14:paraId="3F4C42FC"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Pas de module de reporting ITIE automatisé</w:t>
            </w:r>
          </w:p>
        </w:tc>
      </w:tr>
      <w:tr w:rsidR="00323431" w:rsidRPr="00240C99" w14:paraId="6B3C6B56" w14:textId="77777777" w:rsidTr="00323431">
        <w:tc>
          <w:tcPr>
            <w:tcW w:w="758" w:type="pct"/>
            <w:shd w:val="clear" w:color="auto" w:fill="E2EFD9" w:themeFill="accent6" w:themeFillTint="33"/>
            <w:hideMark/>
          </w:tcPr>
          <w:p w14:paraId="3C3B9016" w14:textId="77777777" w:rsidR="00086D6C" w:rsidRPr="00086D6C" w:rsidRDefault="00086D6C" w:rsidP="00323431">
            <w:pPr>
              <w:spacing w:before="40" w:after="40"/>
              <w:rPr>
                <w:rFonts w:ascii="Kohinoor Devanagari" w:hAnsi="Kohinoor Devanagari" w:cs="Kohinoor Devanagari"/>
                <w:sz w:val="18"/>
                <w:szCs w:val="18"/>
              </w:rPr>
            </w:pPr>
            <w:r w:rsidRPr="00086D6C">
              <w:rPr>
                <w:rFonts w:ascii="Kohinoor Devanagari" w:hAnsi="Kohinoor Devanagari" w:cs="Kohinoor Devanagari"/>
                <w:b/>
                <w:bCs/>
                <w:sz w:val="18"/>
                <w:szCs w:val="18"/>
              </w:rPr>
              <w:t>CAMSIS</w:t>
            </w:r>
          </w:p>
        </w:tc>
        <w:tc>
          <w:tcPr>
            <w:tcW w:w="854" w:type="pct"/>
            <w:shd w:val="clear" w:color="auto" w:fill="E2EFD9" w:themeFill="accent6" w:themeFillTint="33"/>
            <w:hideMark/>
          </w:tcPr>
          <w:p w14:paraId="54137C20"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DGD</w:t>
            </w:r>
          </w:p>
        </w:tc>
        <w:tc>
          <w:tcPr>
            <w:tcW w:w="856" w:type="pct"/>
            <w:shd w:val="clear" w:color="auto" w:fill="E2EFD9" w:themeFill="accent6" w:themeFillTint="33"/>
            <w:hideMark/>
          </w:tcPr>
          <w:p w14:paraId="0A8DB331"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Gestion des déclarations douanières</w:t>
            </w:r>
          </w:p>
        </w:tc>
        <w:tc>
          <w:tcPr>
            <w:tcW w:w="877" w:type="pct"/>
            <w:shd w:val="clear" w:color="auto" w:fill="E2EFD9" w:themeFill="accent6" w:themeFillTint="33"/>
            <w:hideMark/>
          </w:tcPr>
          <w:p w14:paraId="792010ED"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Connecté à PATRIMONIE</w:t>
            </w:r>
          </w:p>
        </w:tc>
        <w:tc>
          <w:tcPr>
            <w:tcW w:w="856" w:type="pct"/>
            <w:shd w:val="clear" w:color="auto" w:fill="E2EFD9" w:themeFill="accent6" w:themeFillTint="33"/>
            <w:hideMark/>
          </w:tcPr>
          <w:p w14:paraId="4432C030" w14:textId="77777777" w:rsidR="00086D6C" w:rsidRPr="00240C99"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Traçabilité des exportations extractives</w:t>
            </w:r>
            <w:r w:rsidR="009A30A0" w:rsidRPr="00240C99">
              <w:rPr>
                <w:rFonts w:ascii="Kohinoor Devanagari" w:hAnsi="Kohinoor Devanagari" w:cs="Kohinoor Devanagari"/>
                <w:sz w:val="20"/>
                <w:szCs w:val="20"/>
              </w:rPr>
              <w:t xml:space="preserve"> </w:t>
            </w:r>
          </w:p>
          <w:p w14:paraId="5E3641CB" w14:textId="33423593" w:rsidR="009A30A0" w:rsidRPr="00086D6C" w:rsidRDefault="009A30A0" w:rsidP="00323431">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Suivi des paiement douaniers</w:t>
            </w:r>
          </w:p>
        </w:tc>
        <w:tc>
          <w:tcPr>
            <w:tcW w:w="798" w:type="pct"/>
            <w:shd w:val="clear" w:color="auto" w:fill="E2EFD9" w:themeFill="accent6" w:themeFillTint="33"/>
            <w:hideMark/>
          </w:tcPr>
          <w:p w14:paraId="6286DF96"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Données non publiées hors rapports ITIE</w:t>
            </w:r>
          </w:p>
        </w:tc>
      </w:tr>
      <w:tr w:rsidR="00323431" w:rsidRPr="00240C99" w14:paraId="0C5C99CC" w14:textId="77777777" w:rsidTr="00323431">
        <w:tc>
          <w:tcPr>
            <w:tcW w:w="758" w:type="pct"/>
            <w:hideMark/>
          </w:tcPr>
          <w:p w14:paraId="07EEA706" w14:textId="77777777" w:rsidR="00086D6C" w:rsidRPr="00086D6C" w:rsidRDefault="00086D6C" w:rsidP="00323431">
            <w:pPr>
              <w:spacing w:before="40" w:after="40"/>
              <w:rPr>
                <w:rFonts w:ascii="Kohinoor Devanagari" w:hAnsi="Kohinoor Devanagari" w:cs="Kohinoor Devanagari"/>
                <w:sz w:val="18"/>
                <w:szCs w:val="18"/>
              </w:rPr>
            </w:pPr>
            <w:r w:rsidRPr="00086D6C">
              <w:rPr>
                <w:rFonts w:ascii="Kohinoor Devanagari" w:hAnsi="Kohinoor Devanagari" w:cs="Kohinoor Devanagari"/>
                <w:b/>
                <w:bCs/>
                <w:sz w:val="18"/>
                <w:szCs w:val="18"/>
              </w:rPr>
              <w:t>PATRIMONIE</w:t>
            </w:r>
          </w:p>
        </w:tc>
        <w:tc>
          <w:tcPr>
            <w:tcW w:w="854" w:type="pct"/>
            <w:hideMark/>
          </w:tcPr>
          <w:p w14:paraId="698A507E"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DGT</w:t>
            </w:r>
          </w:p>
        </w:tc>
        <w:tc>
          <w:tcPr>
            <w:tcW w:w="856" w:type="pct"/>
            <w:hideMark/>
          </w:tcPr>
          <w:p w14:paraId="7A3EDE44"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Suivi budgétaire et encaissements</w:t>
            </w:r>
          </w:p>
        </w:tc>
        <w:tc>
          <w:tcPr>
            <w:tcW w:w="877" w:type="pct"/>
            <w:hideMark/>
          </w:tcPr>
          <w:p w14:paraId="58E1D781"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Intègre HARMONIES et CAMSIS</w:t>
            </w:r>
          </w:p>
        </w:tc>
        <w:tc>
          <w:tcPr>
            <w:tcW w:w="856" w:type="pct"/>
            <w:hideMark/>
          </w:tcPr>
          <w:p w14:paraId="22263CDC" w14:textId="77777777" w:rsidR="00086D6C" w:rsidRPr="00240C99"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Traçabilité des encaissements extractifs</w:t>
            </w:r>
          </w:p>
          <w:p w14:paraId="6B1552FE" w14:textId="08388517" w:rsidR="009A30A0" w:rsidRPr="00086D6C" w:rsidRDefault="009A30A0" w:rsidP="00323431">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Suivi des paiement non fiscaux</w:t>
            </w:r>
          </w:p>
        </w:tc>
        <w:tc>
          <w:tcPr>
            <w:tcW w:w="798" w:type="pct"/>
            <w:hideMark/>
          </w:tcPr>
          <w:p w14:paraId="2C1DC007" w14:textId="77777777" w:rsidR="00086D6C" w:rsidRPr="00086D6C" w:rsidRDefault="00086D6C" w:rsidP="00323431">
            <w:pPr>
              <w:spacing w:before="40" w:after="40"/>
              <w:rPr>
                <w:rFonts w:ascii="Kohinoor Devanagari" w:hAnsi="Kohinoor Devanagari" w:cs="Kohinoor Devanagari"/>
                <w:sz w:val="20"/>
                <w:szCs w:val="20"/>
              </w:rPr>
            </w:pPr>
            <w:r w:rsidRPr="00086D6C">
              <w:rPr>
                <w:rFonts w:ascii="Kohinoor Devanagari" w:hAnsi="Kohinoor Devanagari" w:cs="Kohinoor Devanagari"/>
                <w:sz w:val="20"/>
                <w:szCs w:val="20"/>
              </w:rPr>
              <w:t>Données non désagrégées ni publiées en ligne</w:t>
            </w:r>
          </w:p>
        </w:tc>
      </w:tr>
    </w:tbl>
    <w:p w14:paraId="0ED1C3CF" w14:textId="38F10E6C" w:rsidR="00DB6AEA" w:rsidRPr="00240C99" w:rsidRDefault="00C00BF8" w:rsidP="00240C99">
      <w:pPr>
        <w:spacing w:before="120" w:after="120" w:line="240" w:lineRule="auto"/>
        <w:rPr>
          <w:rFonts w:ascii="Kohinoor Devanagari" w:hAnsi="Kohinoor Devanagari" w:cs="Kohinoor Devanagari"/>
          <w:sz w:val="20"/>
          <w:szCs w:val="20"/>
        </w:rPr>
      </w:pPr>
      <w:r w:rsidRPr="00240C99">
        <w:rPr>
          <w:rFonts w:ascii="Kohinoor Devanagari" w:hAnsi="Kohinoor Devanagari" w:cs="Kohinoor Devanagari"/>
          <w:b/>
          <w:bCs/>
          <w:sz w:val="20"/>
          <w:szCs w:val="20"/>
        </w:rPr>
        <w:t>Limite générale</w:t>
      </w:r>
      <w:r w:rsidRPr="00240C99">
        <w:rPr>
          <w:rFonts w:ascii="Kohinoor Devanagari" w:hAnsi="Kohinoor Devanagari" w:cs="Kohinoor Devanagari"/>
          <w:sz w:val="20"/>
          <w:szCs w:val="20"/>
        </w:rPr>
        <w:t xml:space="preserve"> : Bien que ces systèmes permettent de capter les flux extractifs, </w:t>
      </w:r>
      <w:r w:rsidRPr="00240C99">
        <w:rPr>
          <w:rFonts w:ascii="Kohinoor Devanagari" w:hAnsi="Kohinoor Devanagari" w:cs="Kohinoor Devanagari"/>
          <w:b/>
          <w:bCs/>
          <w:sz w:val="20"/>
          <w:szCs w:val="20"/>
        </w:rPr>
        <w:t>aucun ne dispose à ce jour de module de publication automatique en ligne des paiements désagrégés par entreprise ou projet</w:t>
      </w:r>
      <w:r w:rsidRPr="00240C99">
        <w:rPr>
          <w:rFonts w:ascii="Kohinoor Devanagari" w:hAnsi="Kohinoor Devanagari" w:cs="Kohinoor Devanagari"/>
          <w:sz w:val="20"/>
          <w:szCs w:val="20"/>
        </w:rPr>
        <w:t>. Leur usage pour la transparence publique reste limité à la production des rapports ITIE.</w:t>
      </w:r>
    </w:p>
    <w:p w14:paraId="3BAEE4F0" w14:textId="376B24E4" w:rsidR="00A808FF" w:rsidRPr="00240C99" w:rsidRDefault="00505B5E" w:rsidP="00240C99">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Données ITIE</w:t>
      </w:r>
    </w:p>
    <w:p w14:paraId="44755F07" w14:textId="6F65CC07" w:rsidR="00073CEA" w:rsidRPr="00240C99" w:rsidRDefault="004453AB" w:rsidP="00240C99">
      <w:p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240C99">
        <w:rPr>
          <w:rFonts w:ascii="Kohinoor Devanagari" w:eastAsia="Times New Roman" w:hAnsi="Kohinoor Devanagari" w:cs="Kohinoor Devanagari"/>
          <w:b/>
          <w:bCs/>
          <w:color w:val="000000" w:themeColor="text1"/>
          <w:kern w:val="0"/>
          <w:sz w:val="20"/>
          <w:szCs w:val="20"/>
          <w:lang w:eastAsia="fr-FR"/>
        </w:rPr>
        <w:t>Portail ITIE</w:t>
      </w:r>
      <w:r w:rsidR="007460CB" w:rsidRPr="00240C99">
        <w:rPr>
          <w:rFonts w:ascii="Kohinoor Devanagari" w:eastAsia="Times New Roman" w:hAnsi="Kohinoor Devanagari" w:cs="Kohinoor Devanagari"/>
          <w:b/>
          <w:bCs/>
          <w:color w:val="000000" w:themeColor="text1"/>
          <w:kern w:val="0"/>
          <w:sz w:val="20"/>
          <w:szCs w:val="20"/>
          <w:lang w:eastAsia="fr-FR"/>
        </w:rPr>
        <w:t xml:space="preserve">- </w:t>
      </w:r>
      <w:r w:rsidR="009C6873" w:rsidRPr="00240C99">
        <w:rPr>
          <w:rFonts w:ascii="Kohinoor Devanagari" w:eastAsia="Times New Roman" w:hAnsi="Kohinoor Devanagari" w:cs="Kohinoor Devanagari"/>
          <w:b/>
          <w:bCs/>
          <w:color w:val="000000" w:themeColor="text1"/>
          <w:kern w:val="0"/>
          <w:sz w:val="20"/>
          <w:szCs w:val="20"/>
          <w:lang w:eastAsia="fr-FR"/>
        </w:rPr>
        <w:t>C</w:t>
      </w:r>
      <w:r w:rsidR="00EF69ED" w:rsidRPr="00240C99">
        <w:rPr>
          <w:rFonts w:ascii="Kohinoor Devanagari" w:eastAsia="Times New Roman" w:hAnsi="Kohinoor Devanagari" w:cs="Kohinoor Devanagari"/>
          <w:b/>
          <w:bCs/>
          <w:color w:val="000000" w:themeColor="text1"/>
          <w:kern w:val="0"/>
          <w:sz w:val="20"/>
          <w:szCs w:val="20"/>
          <w:lang w:eastAsia="fr-FR"/>
        </w:rPr>
        <w:t>ameroun</w:t>
      </w:r>
    </w:p>
    <w:p w14:paraId="13530BA0" w14:textId="2F51290C" w:rsidR="0073567F" w:rsidRPr="0073567F" w:rsidRDefault="0013052B" w:rsidP="00240C99">
      <w:pPr>
        <w:spacing w:before="120" w:after="120" w:line="240" w:lineRule="auto"/>
        <w:jc w:val="both"/>
        <w:rPr>
          <w:rFonts w:ascii="Kohinoor Devanagari" w:hAnsi="Kohinoor Devanagari" w:cs="Kohinoor Devanagari"/>
          <w:noProof/>
          <w:sz w:val="20"/>
          <w:szCs w:val="20"/>
        </w:rPr>
      </w:pPr>
      <w:r w:rsidRPr="00240C99">
        <w:rPr>
          <w:rFonts w:ascii="Kohinoor Devanagari" w:hAnsi="Kohinoor Devanagari" w:cs="Kohinoor Devanagari"/>
          <w:noProof/>
          <w:sz w:val="20"/>
          <w:szCs w:val="20"/>
        </w:rPr>
        <w:drawing>
          <wp:anchor distT="0" distB="0" distL="114300" distR="114300" simplePos="0" relativeHeight="251657728" behindDoc="1" locked="0" layoutInCell="1" allowOverlap="1" wp14:anchorId="0483151B" wp14:editId="42401546">
            <wp:simplePos x="0" y="0"/>
            <wp:positionH relativeFrom="margin">
              <wp:align>right</wp:align>
            </wp:positionH>
            <wp:positionV relativeFrom="paragraph">
              <wp:posOffset>370935</wp:posOffset>
            </wp:positionV>
            <wp:extent cx="4150360" cy="2321560"/>
            <wp:effectExtent l="0" t="0" r="2540" b="2540"/>
            <wp:wrapTight wrapText="bothSides">
              <wp:wrapPolygon edited="0">
                <wp:start x="0" y="0"/>
                <wp:lineTo x="0" y="21446"/>
                <wp:lineTo x="21514" y="21446"/>
                <wp:lineTo x="21514" y="0"/>
                <wp:lineTo x="0" y="0"/>
              </wp:wrapPolygon>
            </wp:wrapTight>
            <wp:docPr id="1437556946" name="Image 1" descr="Une image contenant texte, homme, habit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56946" name="Image 1" descr="Une image contenant texte, homme, habits, capture d’écran&#10;&#10;Le contenu généré par l’IA peut êtr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50360" cy="2321560"/>
                    </a:xfrm>
                    <a:prstGeom prst="rect">
                      <a:avLst/>
                    </a:prstGeom>
                  </pic:spPr>
                </pic:pic>
              </a:graphicData>
            </a:graphic>
            <wp14:sizeRelH relativeFrom="margin">
              <wp14:pctWidth>0</wp14:pctWidth>
            </wp14:sizeRelH>
            <wp14:sizeRelV relativeFrom="margin">
              <wp14:pctHeight>0</wp14:pctHeight>
            </wp14:sizeRelV>
          </wp:anchor>
        </w:drawing>
      </w:r>
      <w:r w:rsidR="0073567F" w:rsidRPr="0073567F">
        <w:rPr>
          <w:rFonts w:ascii="Kohinoor Devanagari" w:hAnsi="Kohinoor Devanagari" w:cs="Kohinoor Devanagari"/>
          <w:noProof/>
          <w:sz w:val="20"/>
          <w:szCs w:val="20"/>
        </w:rPr>
        <w:t xml:space="preserve">Le portail </w:t>
      </w:r>
      <w:hyperlink r:id="rId23" w:tgtFrame="_new" w:history="1">
        <w:r w:rsidR="0073567F" w:rsidRPr="0073567F">
          <w:rPr>
            <w:rStyle w:val="Lienhypertexte"/>
            <w:rFonts w:ascii="Kohinoor Devanagari" w:hAnsi="Kohinoor Devanagari" w:cs="Kohinoor Devanagari"/>
            <w:noProof/>
            <w:sz w:val="20"/>
            <w:szCs w:val="20"/>
          </w:rPr>
          <w:t>eiticameroon.org</w:t>
        </w:r>
      </w:hyperlink>
      <w:r w:rsidR="0073567F" w:rsidRPr="0073567F">
        <w:rPr>
          <w:rFonts w:ascii="Kohinoor Devanagari" w:hAnsi="Kohinoor Devanagari" w:cs="Kohinoor Devanagari"/>
          <w:noProof/>
          <w:sz w:val="20"/>
          <w:szCs w:val="20"/>
        </w:rPr>
        <w:t xml:space="preserve"> constitue le principal vecteur de publication des données ITIE au Cameroun. Il est administré par le Secrétariat </w:t>
      </w:r>
      <w:r w:rsidR="00D152C8" w:rsidRPr="00240C99">
        <w:rPr>
          <w:rFonts w:ascii="Kohinoor Devanagari" w:hAnsi="Kohinoor Devanagari" w:cs="Kohinoor Devanagari"/>
          <w:noProof/>
          <w:sz w:val="20"/>
          <w:szCs w:val="20"/>
        </w:rPr>
        <w:t>Permanent</w:t>
      </w:r>
      <w:r w:rsidR="0073567F" w:rsidRPr="0073567F">
        <w:rPr>
          <w:rFonts w:ascii="Kohinoor Devanagari" w:hAnsi="Kohinoor Devanagari" w:cs="Kohinoor Devanagari"/>
          <w:noProof/>
          <w:sz w:val="20"/>
          <w:szCs w:val="20"/>
        </w:rPr>
        <w:t xml:space="preserve"> ITIE (S</w:t>
      </w:r>
      <w:r w:rsidR="00D152C8" w:rsidRPr="00240C99">
        <w:rPr>
          <w:rFonts w:ascii="Kohinoor Devanagari" w:hAnsi="Kohinoor Devanagari" w:cs="Kohinoor Devanagari"/>
          <w:noProof/>
          <w:sz w:val="20"/>
          <w:szCs w:val="20"/>
        </w:rPr>
        <w:t>P</w:t>
      </w:r>
      <w:r w:rsidR="0073567F" w:rsidRPr="0073567F">
        <w:rPr>
          <w:rFonts w:ascii="Kohinoor Devanagari" w:hAnsi="Kohinoor Devanagari" w:cs="Kohinoor Devanagari"/>
          <w:noProof/>
          <w:sz w:val="20"/>
          <w:szCs w:val="20"/>
        </w:rPr>
        <w:t>-ITIE), qui y téléverse périodiquement les rapports ITIE validés, incluant les données sur les paiements, les licences, les conventions</w:t>
      </w:r>
      <w:r w:rsidR="005157BD" w:rsidRPr="00240C99">
        <w:rPr>
          <w:rFonts w:ascii="Kohinoor Devanagari" w:hAnsi="Kohinoor Devanagari" w:cs="Kohinoor Devanagari"/>
          <w:noProof/>
          <w:sz w:val="20"/>
          <w:szCs w:val="20"/>
        </w:rPr>
        <w:t>(liens)</w:t>
      </w:r>
      <w:r w:rsidR="0073567F" w:rsidRPr="0073567F">
        <w:rPr>
          <w:rFonts w:ascii="Kohinoor Devanagari" w:hAnsi="Kohinoor Devanagari" w:cs="Kohinoor Devanagari"/>
          <w:noProof/>
          <w:sz w:val="20"/>
          <w:szCs w:val="20"/>
        </w:rPr>
        <w:t>, les données contextuelles et les annexes statistiques.</w:t>
      </w:r>
      <w:r w:rsidRPr="00240C99">
        <w:rPr>
          <w:rFonts w:ascii="Kohinoor Devanagari" w:hAnsi="Kohinoor Devanagari" w:cs="Kohinoor Devanagari"/>
          <w:noProof/>
          <w:sz w:val="20"/>
          <w:szCs w:val="20"/>
        </w:rPr>
        <w:t xml:space="preserve"> </w:t>
      </w:r>
    </w:p>
    <w:p w14:paraId="73F1C21A" w14:textId="77777777" w:rsidR="0073567F" w:rsidRPr="0073567F" w:rsidRDefault="0073567F" w:rsidP="00240C99">
      <w:p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b/>
          <w:bCs/>
          <w:noProof/>
          <w:sz w:val="20"/>
          <w:szCs w:val="20"/>
        </w:rPr>
        <w:t>Contenu actuel et limites :</w:t>
      </w:r>
    </w:p>
    <w:p w14:paraId="1CB05C81" w14:textId="66A99129" w:rsidR="0073567F" w:rsidRPr="0073567F" w:rsidRDefault="0073567F" w:rsidP="00240C99">
      <w:pPr>
        <w:numPr>
          <w:ilvl w:val="0"/>
          <w:numId w:val="121"/>
        </w:num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noProof/>
          <w:sz w:val="20"/>
          <w:szCs w:val="20"/>
        </w:rPr>
        <w:t xml:space="preserve">La </w:t>
      </w:r>
      <w:r w:rsidRPr="0073567F">
        <w:rPr>
          <w:rFonts w:ascii="Kohinoor Devanagari" w:hAnsi="Kohinoor Devanagari" w:cs="Kohinoor Devanagari"/>
          <w:b/>
          <w:bCs/>
          <w:noProof/>
          <w:sz w:val="20"/>
          <w:szCs w:val="20"/>
        </w:rPr>
        <w:t>dernière mise à jour sur le portail</w:t>
      </w:r>
      <w:r w:rsidRPr="0073567F">
        <w:rPr>
          <w:rFonts w:ascii="Kohinoor Devanagari" w:hAnsi="Kohinoor Devanagari" w:cs="Kohinoor Devanagari"/>
          <w:noProof/>
          <w:sz w:val="20"/>
          <w:szCs w:val="20"/>
        </w:rPr>
        <w:t xml:space="preserve"> concerne le </w:t>
      </w:r>
      <w:r w:rsidRPr="0073567F">
        <w:rPr>
          <w:rFonts w:ascii="Kohinoor Devanagari" w:hAnsi="Kohinoor Devanagari" w:cs="Kohinoor Devanagari"/>
          <w:b/>
          <w:bCs/>
          <w:noProof/>
          <w:sz w:val="20"/>
          <w:szCs w:val="20"/>
        </w:rPr>
        <w:t>rapport ITIE 202</w:t>
      </w:r>
      <w:r w:rsidR="002A156B" w:rsidRPr="00240C99">
        <w:rPr>
          <w:rFonts w:ascii="Kohinoor Devanagari" w:hAnsi="Kohinoor Devanagari" w:cs="Kohinoor Devanagari"/>
          <w:b/>
          <w:bCs/>
          <w:noProof/>
          <w:sz w:val="20"/>
          <w:szCs w:val="20"/>
        </w:rPr>
        <w:t>2</w:t>
      </w:r>
      <w:r w:rsidRPr="0073567F">
        <w:rPr>
          <w:rFonts w:ascii="Kohinoor Devanagari" w:hAnsi="Kohinoor Devanagari" w:cs="Kohinoor Devanagari"/>
          <w:noProof/>
          <w:sz w:val="20"/>
          <w:szCs w:val="20"/>
        </w:rPr>
        <w:t>.</w:t>
      </w:r>
    </w:p>
    <w:p w14:paraId="34D97A7C" w14:textId="55B0B2E0" w:rsidR="0073567F" w:rsidRPr="0073567F" w:rsidRDefault="0073567F" w:rsidP="00240C99">
      <w:pPr>
        <w:numPr>
          <w:ilvl w:val="0"/>
          <w:numId w:val="121"/>
        </w:num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noProof/>
          <w:sz w:val="20"/>
          <w:szCs w:val="20"/>
        </w:rPr>
        <w:t xml:space="preserve">Les </w:t>
      </w:r>
      <w:r w:rsidRPr="0073567F">
        <w:rPr>
          <w:rFonts w:ascii="Kohinoor Devanagari" w:hAnsi="Kohinoor Devanagari" w:cs="Kohinoor Devanagari"/>
          <w:b/>
          <w:bCs/>
          <w:noProof/>
          <w:sz w:val="20"/>
          <w:szCs w:val="20"/>
        </w:rPr>
        <w:t>données des rapports ITIE</w:t>
      </w:r>
      <w:r w:rsidRPr="0073567F">
        <w:rPr>
          <w:rFonts w:ascii="Kohinoor Devanagari" w:hAnsi="Kohinoor Devanagari" w:cs="Kohinoor Devanagari"/>
          <w:noProof/>
          <w:sz w:val="20"/>
          <w:szCs w:val="20"/>
        </w:rPr>
        <w:t xml:space="preserve">, bien que disponibles en annexes Excel, ne sont </w:t>
      </w:r>
      <w:r w:rsidRPr="0073567F">
        <w:rPr>
          <w:rFonts w:ascii="Kohinoor Devanagari" w:hAnsi="Kohinoor Devanagari" w:cs="Kohinoor Devanagari"/>
          <w:b/>
          <w:bCs/>
          <w:noProof/>
          <w:sz w:val="20"/>
          <w:szCs w:val="20"/>
        </w:rPr>
        <w:t>pas intégrées</w:t>
      </w:r>
      <w:r w:rsidRPr="0073567F">
        <w:rPr>
          <w:rFonts w:ascii="Kohinoor Devanagari" w:hAnsi="Kohinoor Devanagari" w:cs="Kohinoor Devanagari"/>
          <w:noProof/>
          <w:sz w:val="20"/>
          <w:szCs w:val="20"/>
        </w:rPr>
        <w:t xml:space="preserve"> dans le portail sous forme exploitable ou consultable directement à travers des interfaces interactives.</w:t>
      </w:r>
    </w:p>
    <w:p w14:paraId="163CB4AD" w14:textId="77777777" w:rsidR="0073567F" w:rsidRPr="0073567F" w:rsidRDefault="0073567F" w:rsidP="00240C99">
      <w:pPr>
        <w:numPr>
          <w:ilvl w:val="0"/>
          <w:numId w:val="121"/>
        </w:num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noProof/>
          <w:sz w:val="20"/>
          <w:szCs w:val="20"/>
        </w:rPr>
        <w:t xml:space="preserve">Les informations sont présentées sous forme de </w:t>
      </w:r>
      <w:r w:rsidRPr="0073567F">
        <w:rPr>
          <w:rFonts w:ascii="Kohinoor Devanagari" w:hAnsi="Kohinoor Devanagari" w:cs="Kohinoor Devanagari"/>
          <w:b/>
          <w:bCs/>
          <w:noProof/>
          <w:sz w:val="20"/>
          <w:szCs w:val="20"/>
        </w:rPr>
        <w:t>fichiers PDF</w:t>
      </w:r>
      <w:r w:rsidRPr="0073567F">
        <w:rPr>
          <w:rFonts w:ascii="Kohinoor Devanagari" w:hAnsi="Kohinoor Devanagari" w:cs="Kohinoor Devanagari"/>
          <w:noProof/>
          <w:sz w:val="20"/>
          <w:szCs w:val="20"/>
        </w:rPr>
        <w:t xml:space="preserve">, </w:t>
      </w:r>
      <w:r w:rsidRPr="0073567F">
        <w:rPr>
          <w:rFonts w:ascii="Kohinoor Devanagari" w:hAnsi="Kohinoor Devanagari" w:cs="Kohinoor Devanagari"/>
          <w:b/>
          <w:bCs/>
          <w:noProof/>
          <w:sz w:val="20"/>
          <w:szCs w:val="20"/>
        </w:rPr>
        <w:t>tableaux statiques</w:t>
      </w:r>
      <w:r w:rsidRPr="0073567F">
        <w:rPr>
          <w:rFonts w:ascii="Kohinoor Devanagari" w:hAnsi="Kohinoor Devanagari" w:cs="Kohinoor Devanagari"/>
          <w:noProof/>
          <w:sz w:val="20"/>
          <w:szCs w:val="20"/>
        </w:rPr>
        <w:t xml:space="preserve"> ou </w:t>
      </w:r>
      <w:r w:rsidRPr="0073567F">
        <w:rPr>
          <w:rFonts w:ascii="Kohinoor Devanagari" w:hAnsi="Kohinoor Devanagari" w:cs="Kohinoor Devanagari"/>
          <w:b/>
          <w:bCs/>
          <w:noProof/>
          <w:sz w:val="20"/>
          <w:szCs w:val="20"/>
        </w:rPr>
        <w:t>listes de liens</w:t>
      </w:r>
      <w:r w:rsidRPr="0073567F">
        <w:rPr>
          <w:rFonts w:ascii="Kohinoor Devanagari" w:hAnsi="Kohinoor Devanagari" w:cs="Kohinoor Devanagari"/>
          <w:noProof/>
          <w:sz w:val="20"/>
          <w:szCs w:val="20"/>
        </w:rPr>
        <w:t>, ce qui limite leur réutilisation, leur interopérabilité et leur accessibilité pour les utilisateurs externes (citoyens, chercheurs, OSC, journalistes, etc.).</w:t>
      </w:r>
    </w:p>
    <w:p w14:paraId="31EC0B38" w14:textId="77777777" w:rsidR="0073567F" w:rsidRPr="0073567F" w:rsidRDefault="0073567F" w:rsidP="00240C99">
      <w:p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b/>
          <w:bCs/>
          <w:noProof/>
          <w:sz w:val="20"/>
          <w:szCs w:val="20"/>
        </w:rPr>
        <w:t>Manque d’interconnexion et de structuration :</w:t>
      </w:r>
    </w:p>
    <w:p w14:paraId="477729ED" w14:textId="77777777" w:rsidR="0073567F" w:rsidRPr="0073567F" w:rsidRDefault="0073567F" w:rsidP="00240C99">
      <w:pPr>
        <w:numPr>
          <w:ilvl w:val="0"/>
          <w:numId w:val="122"/>
        </w:num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noProof/>
          <w:sz w:val="20"/>
          <w:szCs w:val="20"/>
        </w:rPr>
        <w:t xml:space="preserve">Le portail n’est </w:t>
      </w:r>
      <w:r w:rsidRPr="0073567F">
        <w:rPr>
          <w:rFonts w:ascii="Kohinoor Devanagari" w:hAnsi="Kohinoor Devanagari" w:cs="Kohinoor Devanagari"/>
          <w:b/>
          <w:bCs/>
          <w:noProof/>
          <w:sz w:val="20"/>
          <w:szCs w:val="20"/>
        </w:rPr>
        <w:t>pas interopérable</w:t>
      </w:r>
      <w:r w:rsidRPr="0073567F">
        <w:rPr>
          <w:rFonts w:ascii="Kohinoor Devanagari" w:hAnsi="Kohinoor Devanagari" w:cs="Kohinoor Devanagari"/>
          <w:noProof/>
          <w:sz w:val="20"/>
          <w:szCs w:val="20"/>
        </w:rPr>
        <w:t xml:space="preserve"> avec les bases de données d'autres entités publiques telles que la DGI (HARMONIES), la DGD (CAMSIS), le Trésor (PATRIMONIE) ou encore le cadastre minier (Landfolio).</w:t>
      </w:r>
    </w:p>
    <w:p w14:paraId="1293CF92" w14:textId="6C3B80D5" w:rsidR="00E30DCA" w:rsidRPr="00240C99" w:rsidRDefault="0073567F" w:rsidP="00240C99">
      <w:pPr>
        <w:numPr>
          <w:ilvl w:val="0"/>
          <w:numId w:val="122"/>
        </w:numPr>
        <w:spacing w:before="120" w:after="120" w:line="240" w:lineRule="auto"/>
        <w:jc w:val="both"/>
        <w:rPr>
          <w:rFonts w:ascii="Kohinoor Devanagari" w:hAnsi="Kohinoor Devanagari" w:cs="Kohinoor Devanagari"/>
          <w:noProof/>
          <w:sz w:val="20"/>
          <w:szCs w:val="20"/>
        </w:rPr>
      </w:pPr>
      <w:r w:rsidRPr="0073567F">
        <w:rPr>
          <w:rFonts w:ascii="Kohinoor Devanagari" w:hAnsi="Kohinoor Devanagari" w:cs="Kohinoor Devanagari"/>
          <w:noProof/>
          <w:sz w:val="20"/>
          <w:szCs w:val="20"/>
        </w:rPr>
        <w:t xml:space="preserve">Il n’existe </w:t>
      </w:r>
      <w:r w:rsidRPr="0073567F">
        <w:rPr>
          <w:rFonts w:ascii="Kohinoor Devanagari" w:hAnsi="Kohinoor Devanagari" w:cs="Kohinoor Devanagari"/>
          <w:b/>
          <w:bCs/>
          <w:noProof/>
          <w:sz w:val="20"/>
          <w:szCs w:val="20"/>
        </w:rPr>
        <w:t>pas de passerelle automatisée</w:t>
      </w:r>
      <w:r w:rsidRPr="0073567F">
        <w:rPr>
          <w:rFonts w:ascii="Kohinoor Devanagari" w:hAnsi="Kohinoor Devanagari" w:cs="Kohinoor Devanagari"/>
          <w:noProof/>
          <w:sz w:val="20"/>
          <w:szCs w:val="20"/>
        </w:rPr>
        <w:t xml:space="preserve"> permettant d’alimenter le portail à partir des systèmes institutionnels existants, ce qui perpétue une logique de rapportage manuel et ponctuel, contraire à l’objectif de divulgation systématique de la norme ITIE 2023.</w:t>
      </w:r>
    </w:p>
    <w:p w14:paraId="18E1883B" w14:textId="33F0BB62" w:rsidR="0004660C" w:rsidRPr="00240C99" w:rsidRDefault="00052DAC" w:rsidP="00240C99">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 xml:space="preserve">Autres </w:t>
      </w:r>
      <w:r w:rsidR="00F6084B" w:rsidRPr="00240C99">
        <w:rPr>
          <w:rFonts w:ascii="Kohinoor Devanagari" w:eastAsia="Times New Roman" w:hAnsi="Kohinoor Devanagari" w:cs="Kohinoor Devanagari"/>
          <w:b/>
          <w:bCs/>
          <w:color w:val="auto"/>
          <w:sz w:val="20"/>
          <w:szCs w:val="20"/>
        </w:rPr>
        <w:t>portail</w:t>
      </w:r>
      <w:r w:rsidR="002239F8" w:rsidRPr="00240C99">
        <w:rPr>
          <w:rFonts w:ascii="Kohinoor Devanagari" w:eastAsia="Times New Roman" w:hAnsi="Kohinoor Devanagari" w:cs="Kohinoor Devanagari"/>
          <w:b/>
          <w:bCs/>
          <w:color w:val="auto"/>
          <w:sz w:val="20"/>
          <w:szCs w:val="20"/>
        </w:rPr>
        <w:t>s</w:t>
      </w:r>
      <w:r w:rsidR="00EF0F3F" w:rsidRPr="00240C99">
        <w:rPr>
          <w:rFonts w:ascii="Kohinoor Devanagari" w:eastAsia="Times New Roman" w:hAnsi="Kohinoor Devanagari" w:cs="Kohinoor Devanagari"/>
          <w:b/>
          <w:bCs/>
          <w:color w:val="auto"/>
          <w:sz w:val="20"/>
          <w:szCs w:val="20"/>
        </w:rPr>
        <w:t xml:space="preserve"> de divulgation des données </w:t>
      </w:r>
      <w:r w:rsidR="002239F8" w:rsidRPr="00240C99">
        <w:rPr>
          <w:rFonts w:ascii="Kohinoor Devanagari" w:eastAsia="Times New Roman" w:hAnsi="Kohinoor Devanagari" w:cs="Kohinoor Devanagari"/>
          <w:b/>
          <w:bCs/>
          <w:color w:val="auto"/>
          <w:sz w:val="20"/>
          <w:szCs w:val="20"/>
        </w:rPr>
        <w:t>sur le secteur extractif</w:t>
      </w:r>
      <w:r w:rsidR="00C62D39" w:rsidRPr="00240C99">
        <w:rPr>
          <w:rFonts w:ascii="Kohinoor Devanagari" w:eastAsia="Times New Roman" w:hAnsi="Kohinoor Devanagari" w:cs="Kohinoor Devanagari"/>
          <w:b/>
          <w:bCs/>
          <w:color w:val="auto"/>
          <w:sz w:val="20"/>
          <w:szCs w:val="20"/>
        </w:rPr>
        <w:t>/ITIE</w:t>
      </w:r>
    </w:p>
    <w:p w14:paraId="349770F6" w14:textId="1BA5A9E9" w:rsidR="00C96BD0" w:rsidRPr="00C96BD0" w:rsidRDefault="003528FD" w:rsidP="00240C99">
      <w:pPr>
        <w:pStyle w:val="Paragraphedeliste"/>
        <w:numPr>
          <w:ilvl w:val="3"/>
          <w:numId w:val="8"/>
        </w:num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240C99">
        <w:rPr>
          <w:rFonts w:ascii="Kohinoor Devanagari" w:eastAsia="Times New Roman" w:hAnsi="Kohinoor Devanagari" w:cs="Kohinoor Devanagari"/>
          <w:b/>
          <w:bCs/>
          <w:color w:val="000000" w:themeColor="text1"/>
          <w:kern w:val="0"/>
          <w:sz w:val="20"/>
          <w:szCs w:val="20"/>
          <w:lang w:eastAsia="fr-FR"/>
        </w:rPr>
        <w:t>Site Web du</w:t>
      </w:r>
      <w:r w:rsidR="00C96BD0" w:rsidRPr="00C96BD0">
        <w:rPr>
          <w:rFonts w:ascii="Kohinoor Devanagari" w:eastAsia="Times New Roman" w:hAnsi="Kohinoor Devanagari" w:cs="Kohinoor Devanagari"/>
          <w:b/>
          <w:bCs/>
          <w:color w:val="000000" w:themeColor="text1"/>
          <w:kern w:val="0"/>
          <w:sz w:val="20"/>
          <w:szCs w:val="20"/>
          <w:lang w:eastAsia="fr-FR"/>
        </w:rPr>
        <w:t xml:space="preserve"> MINFI</w:t>
      </w:r>
    </w:p>
    <w:p w14:paraId="039848C5" w14:textId="77777777" w:rsidR="003528FD" w:rsidRPr="003528FD" w:rsidRDefault="003528FD" w:rsidP="00240C99">
      <w:p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t>Le MINFI dispose de deux canaux en ligne complémentaires :</w:t>
      </w:r>
    </w:p>
    <w:p w14:paraId="042C6491" w14:textId="77777777" w:rsidR="003528FD" w:rsidRPr="003528FD" w:rsidRDefault="003528FD" w:rsidP="00240C99">
      <w:pPr>
        <w:numPr>
          <w:ilvl w:val="0"/>
          <w:numId w:val="132"/>
        </w:num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t xml:space="preserve">Le site institutionnel </w:t>
      </w:r>
      <w:hyperlink r:id="rId24" w:tgtFrame="_new" w:history="1">
        <w:r w:rsidRPr="003528FD">
          <w:rPr>
            <w:rStyle w:val="Lienhypertexte"/>
            <w:rFonts w:ascii="Kohinoor Devanagari" w:hAnsi="Kohinoor Devanagari" w:cs="Kohinoor Devanagari"/>
            <w:sz w:val="20"/>
            <w:szCs w:val="20"/>
          </w:rPr>
          <w:t>minfi.gov.cm</w:t>
        </w:r>
      </w:hyperlink>
      <w:r w:rsidRPr="003528FD">
        <w:rPr>
          <w:rFonts w:ascii="Kohinoor Devanagari" w:hAnsi="Kohinoor Devanagari" w:cs="Kohinoor Devanagari"/>
          <w:sz w:val="20"/>
          <w:szCs w:val="20"/>
        </w:rPr>
        <w:t xml:space="preserve"> via sa rubrique « Documentation » ;</w:t>
      </w:r>
    </w:p>
    <w:p w14:paraId="361ACE97" w14:textId="77777777" w:rsidR="003528FD" w:rsidRPr="003528FD" w:rsidRDefault="003528FD" w:rsidP="00240C99">
      <w:pPr>
        <w:numPr>
          <w:ilvl w:val="0"/>
          <w:numId w:val="132"/>
        </w:numPr>
        <w:spacing w:before="120" w:after="120" w:line="240" w:lineRule="auto"/>
        <w:jc w:val="both"/>
        <w:rPr>
          <w:rFonts w:ascii="Kohinoor Devanagari" w:hAnsi="Kohinoor Devanagari" w:cs="Kohinoor Devanagari"/>
          <w:sz w:val="20"/>
          <w:szCs w:val="20"/>
          <w:lang w:val="en-US"/>
        </w:rPr>
      </w:pPr>
      <w:r w:rsidRPr="003528FD">
        <w:rPr>
          <w:rFonts w:ascii="Kohinoor Devanagari" w:hAnsi="Kohinoor Devanagari" w:cs="Kohinoor Devanagari"/>
          <w:sz w:val="20"/>
          <w:szCs w:val="20"/>
          <w:lang w:val="en-US"/>
        </w:rPr>
        <w:t xml:space="preserve">La </w:t>
      </w:r>
      <w:proofErr w:type="spellStart"/>
      <w:r w:rsidRPr="003528FD">
        <w:rPr>
          <w:rFonts w:ascii="Kohinoor Devanagari" w:hAnsi="Kohinoor Devanagari" w:cs="Kohinoor Devanagari"/>
          <w:sz w:val="20"/>
          <w:szCs w:val="20"/>
          <w:lang w:val="en-US"/>
        </w:rPr>
        <w:t>plateforme</w:t>
      </w:r>
      <w:proofErr w:type="spellEnd"/>
      <w:r w:rsidRPr="003528FD">
        <w:rPr>
          <w:rFonts w:ascii="Kohinoor Devanagari" w:hAnsi="Kohinoor Devanagari" w:cs="Kohinoor Devanagari"/>
          <w:sz w:val="20"/>
          <w:szCs w:val="20"/>
          <w:lang w:val="en-US"/>
        </w:rPr>
        <w:t xml:space="preserve"> </w:t>
      </w:r>
      <w:hyperlink r:id="rId25" w:tgtFrame="_new" w:history="1">
        <w:r w:rsidRPr="003528FD">
          <w:rPr>
            <w:rStyle w:val="Lienhypertexte"/>
            <w:rFonts w:ascii="Kohinoor Devanagari" w:hAnsi="Kohinoor Devanagari" w:cs="Kohinoor Devanagari"/>
            <w:sz w:val="20"/>
            <w:szCs w:val="20"/>
            <w:lang w:val="en-US"/>
          </w:rPr>
          <w:t>Open Data MOF</w:t>
        </w:r>
      </w:hyperlink>
      <w:r w:rsidRPr="003528FD">
        <w:rPr>
          <w:rFonts w:ascii="Kohinoor Devanagari" w:hAnsi="Kohinoor Devanagari" w:cs="Kohinoor Devanagari"/>
          <w:sz w:val="20"/>
          <w:szCs w:val="20"/>
          <w:lang w:val="en-US"/>
        </w:rPr>
        <w:t xml:space="preserve">, </w:t>
      </w:r>
      <w:proofErr w:type="spellStart"/>
      <w:r w:rsidRPr="003528FD">
        <w:rPr>
          <w:rFonts w:ascii="Kohinoor Devanagari" w:hAnsi="Kohinoor Devanagari" w:cs="Kohinoor Devanagari"/>
          <w:sz w:val="20"/>
          <w:szCs w:val="20"/>
          <w:lang w:val="en-US"/>
        </w:rPr>
        <w:t>intégrée</w:t>
      </w:r>
      <w:proofErr w:type="spellEnd"/>
      <w:r w:rsidRPr="003528FD">
        <w:rPr>
          <w:rFonts w:ascii="Kohinoor Devanagari" w:hAnsi="Kohinoor Devanagari" w:cs="Kohinoor Devanagari"/>
          <w:sz w:val="20"/>
          <w:szCs w:val="20"/>
          <w:lang w:val="en-US"/>
        </w:rPr>
        <w:t xml:space="preserve"> à Open Data for Africa.</w:t>
      </w:r>
    </w:p>
    <w:p w14:paraId="3D744E5F" w14:textId="77777777" w:rsidR="003528FD" w:rsidRPr="003528FD" w:rsidRDefault="003528FD" w:rsidP="00240C99">
      <w:p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lastRenderedPageBreak/>
        <w:t>Ces plateformes donnent accès à une variété de données et documents budgétaires et financiers pertinents pour la transparence dans le secteur extractif.</w:t>
      </w:r>
    </w:p>
    <w:p w14:paraId="31EF7259" w14:textId="77777777" w:rsidR="003528FD" w:rsidRPr="003528FD" w:rsidRDefault="003528FD" w:rsidP="00240C99">
      <w:p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b/>
          <w:bCs/>
          <w:sz w:val="20"/>
          <w:szCs w:val="20"/>
        </w:rPr>
        <w:t>Contenu pertinent pour l’ITIE</w:t>
      </w:r>
      <w:r w:rsidRPr="003528FD">
        <w:rPr>
          <w:rFonts w:ascii="Kohinoor Devanagari" w:hAnsi="Kohinoor Devanagari" w:cs="Kohinoor Devanagari"/>
          <w:sz w:val="20"/>
          <w:szCs w:val="20"/>
        </w:rPr>
        <w:t xml:space="preserve"> :</w:t>
      </w:r>
    </w:p>
    <w:p w14:paraId="4A028005" w14:textId="77777777" w:rsidR="003528FD" w:rsidRPr="003528FD" w:rsidRDefault="003528FD" w:rsidP="00240C99">
      <w:pPr>
        <w:numPr>
          <w:ilvl w:val="0"/>
          <w:numId w:val="133"/>
        </w:num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t>Lois de finances (budgets annuels et lois de règlement) ;</w:t>
      </w:r>
    </w:p>
    <w:p w14:paraId="5CF628CA" w14:textId="77777777" w:rsidR="003528FD" w:rsidRPr="003528FD" w:rsidRDefault="003528FD" w:rsidP="00240C99">
      <w:pPr>
        <w:numPr>
          <w:ilvl w:val="0"/>
          <w:numId w:val="133"/>
        </w:num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t>Bulletins statistiques et rapports d’exécution budgétaire ;</w:t>
      </w:r>
    </w:p>
    <w:p w14:paraId="6A87B994" w14:textId="77777777" w:rsidR="003528FD" w:rsidRPr="003528FD" w:rsidRDefault="003528FD" w:rsidP="00240C99">
      <w:pPr>
        <w:numPr>
          <w:ilvl w:val="0"/>
          <w:numId w:val="133"/>
        </w:num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t>Données macroéconomiques, notamment sur les recettes extractives (Open Data MOF) ;</w:t>
      </w:r>
    </w:p>
    <w:p w14:paraId="73E747B1" w14:textId="77777777" w:rsidR="003528FD" w:rsidRPr="003528FD" w:rsidRDefault="003528FD" w:rsidP="00240C99">
      <w:pPr>
        <w:numPr>
          <w:ilvl w:val="0"/>
          <w:numId w:val="133"/>
        </w:numPr>
        <w:spacing w:before="120" w:after="120" w:line="240" w:lineRule="auto"/>
        <w:jc w:val="both"/>
        <w:rPr>
          <w:rFonts w:ascii="Kohinoor Devanagari" w:hAnsi="Kohinoor Devanagari" w:cs="Kohinoor Devanagari"/>
          <w:sz w:val="20"/>
          <w:szCs w:val="20"/>
        </w:rPr>
      </w:pPr>
      <w:r w:rsidRPr="003528FD">
        <w:rPr>
          <w:rFonts w:ascii="Kohinoor Devanagari" w:hAnsi="Kohinoor Devanagari" w:cs="Kohinoor Devanagari"/>
          <w:sz w:val="20"/>
          <w:szCs w:val="20"/>
        </w:rPr>
        <w:t>Tableaux synthétiques et interactifs sur les recettes fiscales, dont certaines lignes spécifiques aux ressources naturelles.</w:t>
      </w:r>
    </w:p>
    <w:p w14:paraId="4A61F02E" w14:textId="77777777" w:rsidR="00B1081C" w:rsidRPr="00B1081C" w:rsidRDefault="00B1081C" w:rsidP="00240C99">
      <w:pPr>
        <w:spacing w:before="120" w:after="120" w:line="240" w:lineRule="auto"/>
        <w:jc w:val="both"/>
        <w:rPr>
          <w:rFonts w:ascii="Kohinoor Devanagari" w:hAnsi="Kohinoor Devanagari" w:cs="Kohinoor Devanagari"/>
          <w:sz w:val="20"/>
          <w:szCs w:val="20"/>
        </w:rPr>
      </w:pPr>
      <w:r w:rsidRPr="00B1081C">
        <w:rPr>
          <w:rFonts w:ascii="Kohinoor Devanagari" w:hAnsi="Kohinoor Devanagari" w:cs="Kohinoor Devanagari"/>
          <w:b/>
          <w:bCs/>
          <w:sz w:val="20"/>
          <w:szCs w:val="20"/>
        </w:rPr>
        <w:t>Limites</w:t>
      </w:r>
      <w:r w:rsidRPr="00B1081C">
        <w:rPr>
          <w:rFonts w:ascii="Kohinoor Devanagari" w:hAnsi="Kohinoor Devanagari" w:cs="Kohinoor Devanagari"/>
          <w:sz w:val="20"/>
          <w:szCs w:val="20"/>
        </w:rPr>
        <w:t xml:space="preserve"> :</w:t>
      </w:r>
    </w:p>
    <w:p w14:paraId="3361B362" w14:textId="77777777" w:rsidR="0001655A" w:rsidRPr="00C96BD0" w:rsidRDefault="0001655A" w:rsidP="00240C99">
      <w:pPr>
        <w:numPr>
          <w:ilvl w:val="0"/>
          <w:numId w:val="134"/>
        </w:numPr>
        <w:spacing w:before="120" w:after="120" w:line="240" w:lineRule="auto"/>
        <w:jc w:val="both"/>
        <w:rPr>
          <w:rFonts w:ascii="Kohinoor Devanagari" w:hAnsi="Kohinoor Devanagari" w:cs="Kohinoor Devanagari"/>
          <w:sz w:val="20"/>
          <w:szCs w:val="20"/>
        </w:rPr>
      </w:pPr>
      <w:r w:rsidRPr="00C96BD0">
        <w:rPr>
          <w:rFonts w:ascii="Kohinoor Devanagari" w:hAnsi="Kohinoor Devanagari" w:cs="Kohinoor Devanagari"/>
          <w:sz w:val="20"/>
          <w:szCs w:val="20"/>
        </w:rPr>
        <w:t>Absence de filtre spécifique pour l</w:t>
      </w:r>
      <w:r w:rsidRPr="00240C99">
        <w:rPr>
          <w:rFonts w:ascii="Kohinoor Devanagari" w:hAnsi="Kohinoor Devanagari" w:cs="Kohinoor Devanagari"/>
          <w:sz w:val="20"/>
          <w:szCs w:val="20"/>
        </w:rPr>
        <w:t>es données sectoriels du</w:t>
      </w:r>
      <w:r w:rsidRPr="00C96BD0">
        <w:rPr>
          <w:rFonts w:ascii="Kohinoor Devanagari" w:hAnsi="Kohinoor Devanagari" w:cs="Kohinoor Devanagari"/>
          <w:sz w:val="20"/>
          <w:szCs w:val="20"/>
        </w:rPr>
        <w:t xml:space="preserve"> secteur extractif</w:t>
      </w:r>
    </w:p>
    <w:p w14:paraId="23B1733E" w14:textId="77777777" w:rsidR="00B1081C" w:rsidRPr="00B1081C" w:rsidRDefault="00B1081C" w:rsidP="00240C99">
      <w:pPr>
        <w:numPr>
          <w:ilvl w:val="0"/>
          <w:numId w:val="134"/>
        </w:numPr>
        <w:spacing w:before="120" w:after="120" w:line="240" w:lineRule="auto"/>
        <w:jc w:val="both"/>
        <w:rPr>
          <w:rFonts w:ascii="Kohinoor Devanagari" w:hAnsi="Kohinoor Devanagari" w:cs="Kohinoor Devanagari"/>
          <w:sz w:val="20"/>
          <w:szCs w:val="20"/>
        </w:rPr>
      </w:pPr>
      <w:r w:rsidRPr="00B1081C">
        <w:rPr>
          <w:rFonts w:ascii="Kohinoor Devanagari" w:hAnsi="Kohinoor Devanagari" w:cs="Kohinoor Devanagari"/>
          <w:sz w:val="20"/>
          <w:szCs w:val="20"/>
        </w:rPr>
        <w:t>Formats majoritairement PDF sur minfi.gov.cm (peu exploitables) ;</w:t>
      </w:r>
    </w:p>
    <w:p w14:paraId="699EDB53" w14:textId="09B7932D" w:rsidR="00B1081C" w:rsidRPr="00B1081C" w:rsidRDefault="00B1081C" w:rsidP="00240C99">
      <w:pPr>
        <w:numPr>
          <w:ilvl w:val="0"/>
          <w:numId w:val="134"/>
        </w:numPr>
        <w:spacing w:before="120" w:after="120" w:line="240" w:lineRule="auto"/>
        <w:jc w:val="both"/>
        <w:rPr>
          <w:rFonts w:ascii="Kohinoor Devanagari" w:hAnsi="Kohinoor Devanagari" w:cs="Kohinoor Devanagari"/>
          <w:sz w:val="20"/>
          <w:szCs w:val="20"/>
        </w:rPr>
      </w:pPr>
      <w:r w:rsidRPr="00B1081C">
        <w:rPr>
          <w:rFonts w:ascii="Kohinoor Devanagari" w:hAnsi="Kohinoor Devanagari" w:cs="Kohinoor Devanagari"/>
          <w:sz w:val="20"/>
          <w:szCs w:val="20"/>
        </w:rPr>
        <w:t xml:space="preserve">Couverture sectorielle incomplète </w:t>
      </w:r>
    </w:p>
    <w:p w14:paraId="0E50FC23" w14:textId="77777777" w:rsidR="00B1081C" w:rsidRPr="00240C99" w:rsidRDefault="00B1081C" w:rsidP="00240C99">
      <w:pPr>
        <w:numPr>
          <w:ilvl w:val="0"/>
          <w:numId w:val="134"/>
        </w:numPr>
        <w:spacing w:before="120" w:after="120" w:line="240" w:lineRule="auto"/>
        <w:jc w:val="both"/>
        <w:rPr>
          <w:rFonts w:ascii="Kohinoor Devanagari" w:hAnsi="Kohinoor Devanagari" w:cs="Kohinoor Devanagari"/>
          <w:sz w:val="20"/>
          <w:szCs w:val="20"/>
        </w:rPr>
      </w:pPr>
      <w:r w:rsidRPr="00B1081C">
        <w:rPr>
          <w:rFonts w:ascii="Kohinoor Devanagari" w:hAnsi="Kohinoor Devanagari" w:cs="Kohinoor Devanagari"/>
          <w:sz w:val="20"/>
          <w:szCs w:val="20"/>
        </w:rPr>
        <w:t>Le portail Open Data est sous-utilisé (peu mis à jour depuis 2022 selon les dernières consultations).</w:t>
      </w:r>
    </w:p>
    <w:p w14:paraId="2B39ED78" w14:textId="215BB0C9" w:rsidR="0001655A" w:rsidRPr="00C96BD0" w:rsidRDefault="0001655A" w:rsidP="00240C99">
      <w:pPr>
        <w:numPr>
          <w:ilvl w:val="0"/>
          <w:numId w:val="134"/>
        </w:numPr>
        <w:spacing w:before="120" w:after="120" w:line="240" w:lineRule="auto"/>
        <w:rPr>
          <w:rFonts w:ascii="Kohinoor Devanagari" w:hAnsi="Kohinoor Devanagari" w:cs="Kohinoor Devanagari"/>
          <w:sz w:val="20"/>
          <w:szCs w:val="20"/>
        </w:rPr>
      </w:pPr>
      <w:r w:rsidRPr="00C96BD0">
        <w:rPr>
          <w:rFonts w:ascii="Kohinoor Devanagari" w:hAnsi="Kohinoor Devanagari" w:cs="Kohinoor Devanagari"/>
          <w:sz w:val="20"/>
          <w:szCs w:val="20"/>
        </w:rPr>
        <w:t xml:space="preserve">Pas d'interconnexion avec </w:t>
      </w:r>
      <w:r w:rsidRPr="00240C99">
        <w:rPr>
          <w:rFonts w:ascii="Kohinoor Devanagari" w:hAnsi="Kohinoor Devanagari" w:cs="Kohinoor Devanagari"/>
          <w:sz w:val="20"/>
          <w:szCs w:val="20"/>
        </w:rPr>
        <w:t>d’autres</w:t>
      </w:r>
      <w:r w:rsidRPr="00C96BD0">
        <w:rPr>
          <w:rFonts w:ascii="Kohinoor Devanagari" w:hAnsi="Kohinoor Devanagari" w:cs="Kohinoor Devanagari"/>
          <w:sz w:val="20"/>
          <w:szCs w:val="20"/>
        </w:rPr>
        <w:t xml:space="preserve"> plateformes</w:t>
      </w:r>
    </w:p>
    <w:p w14:paraId="151B8258" w14:textId="0EA399F6" w:rsidR="00863E24" w:rsidRPr="00240C99" w:rsidRDefault="006871F0" w:rsidP="00240C99">
      <w:pPr>
        <w:pStyle w:val="Paragraphedeliste"/>
        <w:numPr>
          <w:ilvl w:val="3"/>
          <w:numId w:val="8"/>
        </w:num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6871F0">
        <w:rPr>
          <w:rFonts w:ascii="Kohinoor Devanagari" w:eastAsia="Times New Roman" w:hAnsi="Kohinoor Devanagari" w:cs="Kohinoor Devanagari"/>
          <w:b/>
          <w:bCs/>
          <w:color w:val="000000" w:themeColor="text1"/>
          <w:kern w:val="0"/>
          <w:sz w:val="20"/>
          <w:szCs w:val="20"/>
          <w:lang w:eastAsia="fr-FR"/>
        </w:rPr>
        <w:t xml:space="preserve">Site web du MINMIDT </w:t>
      </w:r>
    </w:p>
    <w:p w14:paraId="2DD956DF" w14:textId="579C6F88" w:rsidR="006871F0" w:rsidRPr="00240C99" w:rsidRDefault="006871F0" w:rsidP="00240C99">
      <w:pPr>
        <w:spacing w:before="120" w:after="120" w:line="240" w:lineRule="auto"/>
        <w:rPr>
          <w:rFonts w:ascii="Kohinoor Devanagari" w:hAnsi="Kohinoor Devanagari" w:cs="Kohinoor Devanagari"/>
          <w:sz w:val="20"/>
          <w:szCs w:val="20"/>
        </w:rPr>
      </w:pPr>
      <w:r w:rsidRPr="006871F0">
        <w:rPr>
          <w:rFonts w:ascii="Kohinoor Devanagari" w:hAnsi="Kohinoor Devanagari" w:cs="Kohinoor Devanagari"/>
          <w:sz w:val="20"/>
          <w:szCs w:val="20"/>
        </w:rPr>
        <w:t>Le site officiel du MINMIDT (</w:t>
      </w:r>
      <w:hyperlink r:id="rId26" w:tgtFrame="_new" w:history="1">
        <w:r w:rsidRPr="006871F0">
          <w:rPr>
            <w:rStyle w:val="Lienhypertexte"/>
            <w:rFonts w:ascii="Kohinoor Devanagari" w:hAnsi="Kohinoor Devanagari" w:cs="Kohinoor Devanagari"/>
            <w:sz w:val="20"/>
            <w:szCs w:val="20"/>
          </w:rPr>
          <w:t>www.minmidt.cm</w:t>
        </w:r>
      </w:hyperlink>
      <w:r w:rsidRPr="006871F0">
        <w:rPr>
          <w:rFonts w:ascii="Kohinoor Devanagari" w:hAnsi="Kohinoor Devanagari" w:cs="Kohinoor Devanagari"/>
          <w:sz w:val="20"/>
          <w:szCs w:val="20"/>
        </w:rPr>
        <w:t>) contient plusieurs rubriques liées au secteur extractif, dont :</w:t>
      </w:r>
      <w:r w:rsidR="006A7557" w:rsidRPr="00240C99">
        <w:rPr>
          <w:rFonts w:ascii="Kohinoor Devanagari" w:hAnsi="Kohinoor Devanagari" w:cs="Kohinoor Devanagari"/>
          <w:noProof/>
          <w:sz w:val="20"/>
          <w:szCs w:val="20"/>
        </w:rPr>
        <w:t xml:space="preserve"> </w:t>
      </w:r>
    </w:p>
    <w:p w14:paraId="4AAB122C" w14:textId="6CB89356" w:rsidR="00DA5F3D" w:rsidRPr="00240C99" w:rsidRDefault="00DA5F3D" w:rsidP="00240C99">
      <w:pPr>
        <w:pStyle w:val="Paragraphedeliste"/>
        <w:numPr>
          <w:ilvl w:val="0"/>
          <w:numId w:val="127"/>
        </w:numPr>
        <w:spacing w:before="120" w:after="120" w:line="240" w:lineRule="auto"/>
        <w:rPr>
          <w:rFonts w:ascii="Kohinoor Devanagari" w:hAnsi="Kohinoor Devanagari" w:cs="Kohinoor Devanagari"/>
          <w:sz w:val="20"/>
          <w:szCs w:val="20"/>
        </w:rPr>
      </w:pPr>
      <w:hyperlink r:id="rId27" w:tgtFrame="_new" w:history="1">
        <w:r w:rsidRPr="00240C99">
          <w:rPr>
            <w:rStyle w:val="Lienhypertexte"/>
            <w:rFonts w:ascii="Kohinoor Devanagari" w:hAnsi="Kohinoor Devanagari" w:cs="Kohinoor Devanagari"/>
            <w:sz w:val="20"/>
            <w:szCs w:val="20"/>
          </w:rPr>
          <w:t>Conventions minières</w:t>
        </w:r>
      </w:hyperlink>
      <w:r w:rsidRPr="00240C99">
        <w:rPr>
          <w:rFonts w:ascii="Kohinoor Devanagari" w:hAnsi="Kohinoor Devanagari" w:cs="Kohinoor Devanagari"/>
          <w:sz w:val="20"/>
          <w:szCs w:val="20"/>
        </w:rPr>
        <w:t xml:space="preserve"> : liste de conventions publiées (PDF), sans moteur de recherche ni données structurées.</w:t>
      </w:r>
    </w:p>
    <w:p w14:paraId="1FE5044B" w14:textId="276F95E4" w:rsidR="00DA5F3D" w:rsidRPr="00240C99" w:rsidRDefault="006A7557" w:rsidP="00240C99">
      <w:pPr>
        <w:pStyle w:val="Paragraphedeliste"/>
        <w:numPr>
          <w:ilvl w:val="0"/>
          <w:numId w:val="127"/>
        </w:numPr>
        <w:spacing w:before="120" w:after="120" w:line="240" w:lineRule="auto"/>
        <w:rPr>
          <w:rFonts w:ascii="Kohinoor Devanagari" w:hAnsi="Kohinoor Devanagari" w:cs="Kohinoor Devanagari"/>
          <w:sz w:val="20"/>
          <w:szCs w:val="20"/>
        </w:rPr>
      </w:pPr>
      <w:r w:rsidRPr="00240C99">
        <w:rPr>
          <w:rFonts w:ascii="Kohinoor Devanagari" w:hAnsi="Kohinoor Devanagari" w:cs="Kohinoor Devanagari"/>
          <w:noProof/>
          <w:sz w:val="20"/>
          <w:szCs w:val="20"/>
        </w:rPr>
        <w:drawing>
          <wp:anchor distT="0" distB="0" distL="114300" distR="114300" simplePos="0" relativeHeight="251677184" behindDoc="0" locked="0" layoutInCell="1" allowOverlap="1" wp14:anchorId="79755637" wp14:editId="747EF02F">
            <wp:simplePos x="0" y="0"/>
            <wp:positionH relativeFrom="margin">
              <wp:align>right</wp:align>
            </wp:positionH>
            <wp:positionV relativeFrom="paragraph">
              <wp:posOffset>-1270</wp:posOffset>
            </wp:positionV>
            <wp:extent cx="3874770" cy="963930"/>
            <wp:effectExtent l="0" t="0" r="0" b="7620"/>
            <wp:wrapSquare wrapText="bothSides"/>
            <wp:docPr id="190619791" name="Image 1" descr="Une image contenant texte, Police, Page web,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9791" name="Image 1" descr="Une image contenant texte, Police, Page web, Site web&#10;&#10;Le contenu généré par l’IA peut êtr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74770" cy="963930"/>
                    </a:xfrm>
                    <a:prstGeom prst="rect">
                      <a:avLst/>
                    </a:prstGeom>
                  </pic:spPr>
                </pic:pic>
              </a:graphicData>
            </a:graphic>
            <wp14:sizeRelH relativeFrom="margin">
              <wp14:pctWidth>0</wp14:pctWidth>
            </wp14:sizeRelH>
            <wp14:sizeRelV relativeFrom="margin">
              <wp14:pctHeight>0</wp14:pctHeight>
            </wp14:sizeRelV>
          </wp:anchor>
        </w:drawing>
      </w:r>
      <w:hyperlink r:id="rId29" w:tgtFrame="_new" w:history="1">
        <w:r w:rsidR="00DA5F3D" w:rsidRPr="00240C99">
          <w:rPr>
            <w:rStyle w:val="Lienhypertexte"/>
            <w:rFonts w:ascii="Kohinoor Devanagari" w:hAnsi="Kohinoor Devanagari" w:cs="Kohinoor Devanagari"/>
            <w:sz w:val="20"/>
            <w:szCs w:val="20"/>
          </w:rPr>
          <w:t>Permis d’exploitation</w:t>
        </w:r>
      </w:hyperlink>
      <w:r w:rsidR="00DA5F3D" w:rsidRPr="00240C99">
        <w:rPr>
          <w:rFonts w:ascii="Kohinoor Devanagari" w:hAnsi="Kohinoor Devanagari" w:cs="Kohinoor Devanagari"/>
          <w:sz w:val="20"/>
          <w:szCs w:val="20"/>
        </w:rPr>
        <w:t xml:space="preserve"> : liste indicative de permis délivrés, par entreprise, type de substance et localisation.</w:t>
      </w:r>
    </w:p>
    <w:p w14:paraId="2FE270B6" w14:textId="0CEC7CAC" w:rsidR="00DA5F3D" w:rsidRPr="00240C99" w:rsidRDefault="00DA5F3D" w:rsidP="00240C99">
      <w:pPr>
        <w:pStyle w:val="Paragraphedeliste"/>
        <w:numPr>
          <w:ilvl w:val="0"/>
          <w:numId w:val="127"/>
        </w:numPr>
        <w:spacing w:before="120" w:after="120" w:line="240" w:lineRule="auto"/>
        <w:rPr>
          <w:rFonts w:ascii="Kohinoor Devanagari" w:hAnsi="Kohinoor Devanagari" w:cs="Kohinoor Devanagari"/>
          <w:sz w:val="20"/>
          <w:szCs w:val="20"/>
        </w:rPr>
      </w:pPr>
      <w:hyperlink r:id="rId30" w:tgtFrame="_new" w:history="1">
        <w:r w:rsidRPr="00240C99">
          <w:rPr>
            <w:rStyle w:val="Lienhypertexte"/>
            <w:rFonts w:ascii="Kohinoor Devanagari" w:hAnsi="Kohinoor Devanagari" w:cs="Kohinoor Devanagari"/>
            <w:sz w:val="20"/>
            <w:szCs w:val="20"/>
          </w:rPr>
          <w:t>Mines et carrières</w:t>
        </w:r>
      </w:hyperlink>
      <w:r w:rsidRPr="00240C99">
        <w:rPr>
          <w:rFonts w:ascii="Kohinoor Devanagari" w:hAnsi="Kohinoor Devanagari" w:cs="Kohinoor Devanagari"/>
          <w:sz w:val="20"/>
          <w:szCs w:val="20"/>
        </w:rPr>
        <w:t xml:space="preserve"> : page de présentation générale du potentiel minier, des types de titres, et des principales orientations du ministère.</w:t>
      </w:r>
    </w:p>
    <w:p w14:paraId="1D0ACA30" w14:textId="5E9C6626" w:rsidR="00DA5F3D" w:rsidRPr="00240C99" w:rsidRDefault="00DA5F3D" w:rsidP="00240C99">
      <w:pPr>
        <w:pStyle w:val="Paragraphedeliste"/>
        <w:numPr>
          <w:ilvl w:val="0"/>
          <w:numId w:val="127"/>
        </w:numPr>
        <w:spacing w:before="120" w:after="120" w:line="240" w:lineRule="auto"/>
        <w:rPr>
          <w:rFonts w:ascii="Kohinoor Devanagari" w:hAnsi="Kohinoor Devanagari" w:cs="Kohinoor Devanagari"/>
          <w:sz w:val="20"/>
          <w:szCs w:val="20"/>
        </w:rPr>
      </w:pPr>
      <w:hyperlink r:id="rId31" w:tgtFrame="_new" w:history="1">
        <w:r w:rsidRPr="00240C99">
          <w:rPr>
            <w:rStyle w:val="Lienhypertexte"/>
            <w:rFonts w:ascii="Kohinoor Devanagari" w:hAnsi="Kohinoor Devanagari" w:cs="Kohinoor Devanagari"/>
            <w:sz w:val="20"/>
            <w:szCs w:val="20"/>
          </w:rPr>
          <w:t>Téléchargements</w:t>
        </w:r>
      </w:hyperlink>
      <w:r w:rsidRPr="00240C99">
        <w:rPr>
          <w:rFonts w:ascii="Kohinoor Devanagari" w:hAnsi="Kohinoor Devanagari" w:cs="Kohinoor Devanagari"/>
          <w:sz w:val="20"/>
          <w:szCs w:val="20"/>
        </w:rPr>
        <w:t xml:space="preserve"> : textes réglementaires, documents de planification, rapports et guides administratifs.</w:t>
      </w:r>
    </w:p>
    <w:p w14:paraId="41FB65A2" w14:textId="18EFFBD2" w:rsidR="00DA5F3D" w:rsidRPr="00240C99" w:rsidRDefault="00DA5F3D" w:rsidP="00240C99">
      <w:pPr>
        <w:pStyle w:val="Paragraphedeliste"/>
        <w:numPr>
          <w:ilvl w:val="0"/>
          <w:numId w:val="127"/>
        </w:numPr>
        <w:spacing w:before="120" w:after="120" w:line="240" w:lineRule="auto"/>
        <w:rPr>
          <w:rFonts w:ascii="Kohinoor Devanagari" w:hAnsi="Kohinoor Devanagari" w:cs="Kohinoor Devanagari"/>
          <w:sz w:val="20"/>
          <w:szCs w:val="20"/>
        </w:rPr>
      </w:pPr>
      <w:hyperlink r:id="rId32" w:tgtFrame="_new" w:history="1">
        <w:r w:rsidRPr="00240C99">
          <w:rPr>
            <w:rStyle w:val="Lienhypertexte"/>
            <w:rFonts w:ascii="Kohinoor Devanagari" w:hAnsi="Kohinoor Devanagari" w:cs="Kohinoor Devanagari"/>
            <w:sz w:val="20"/>
            <w:szCs w:val="20"/>
          </w:rPr>
          <w:t>Services – Mines</w:t>
        </w:r>
      </w:hyperlink>
      <w:r w:rsidRPr="00240C99">
        <w:rPr>
          <w:rFonts w:ascii="Kohinoor Devanagari" w:hAnsi="Kohinoor Devanagari" w:cs="Kohinoor Devanagari"/>
          <w:sz w:val="20"/>
          <w:szCs w:val="20"/>
        </w:rPr>
        <w:t xml:space="preserve"> : explication des démarches administratives liées aux titres miniers, mais sans formulaire téléchargeable ni interface transactionnelle.</w:t>
      </w:r>
    </w:p>
    <w:p w14:paraId="29679294" w14:textId="77777777" w:rsidR="006871F0" w:rsidRPr="006871F0" w:rsidRDefault="006871F0" w:rsidP="00240C99">
      <w:pPr>
        <w:numPr>
          <w:ilvl w:val="0"/>
          <w:numId w:val="126"/>
        </w:numPr>
        <w:spacing w:before="120" w:after="120" w:line="240" w:lineRule="auto"/>
        <w:rPr>
          <w:rFonts w:ascii="Kohinoor Devanagari" w:hAnsi="Kohinoor Devanagari" w:cs="Kohinoor Devanagari"/>
          <w:sz w:val="20"/>
          <w:szCs w:val="20"/>
        </w:rPr>
      </w:pPr>
      <w:r w:rsidRPr="006871F0">
        <w:rPr>
          <w:rFonts w:ascii="Kohinoor Devanagari" w:hAnsi="Kohinoor Devanagari" w:cs="Kohinoor Devanagari"/>
          <w:b/>
          <w:bCs/>
          <w:sz w:val="20"/>
          <w:szCs w:val="20"/>
        </w:rPr>
        <w:t>Format</w:t>
      </w:r>
      <w:r w:rsidRPr="006871F0">
        <w:rPr>
          <w:rFonts w:ascii="Kohinoor Devanagari" w:hAnsi="Kohinoor Devanagari" w:cs="Kohinoor Devanagari"/>
          <w:sz w:val="20"/>
          <w:szCs w:val="20"/>
        </w:rPr>
        <w:t xml:space="preserve"> : PDF uniquement, sans bases de données structurées ou interopérables.</w:t>
      </w:r>
    </w:p>
    <w:p w14:paraId="5D485274" w14:textId="77777777" w:rsidR="00A708EE" w:rsidRPr="00240C99" w:rsidRDefault="006871F0" w:rsidP="00240C99">
      <w:pPr>
        <w:numPr>
          <w:ilvl w:val="0"/>
          <w:numId w:val="126"/>
        </w:numPr>
        <w:spacing w:before="120" w:after="120" w:line="240" w:lineRule="auto"/>
        <w:rPr>
          <w:rFonts w:ascii="Kohinoor Devanagari" w:hAnsi="Kohinoor Devanagari" w:cs="Kohinoor Devanagari"/>
          <w:sz w:val="20"/>
          <w:szCs w:val="20"/>
        </w:rPr>
      </w:pPr>
      <w:r w:rsidRPr="006871F0">
        <w:rPr>
          <w:rFonts w:ascii="Kohinoor Devanagari" w:hAnsi="Kohinoor Devanagari" w:cs="Kohinoor Devanagari"/>
          <w:b/>
          <w:bCs/>
          <w:sz w:val="20"/>
          <w:szCs w:val="20"/>
        </w:rPr>
        <w:t>Limites</w:t>
      </w:r>
      <w:r w:rsidRPr="006871F0">
        <w:rPr>
          <w:rFonts w:ascii="Kohinoor Devanagari" w:hAnsi="Kohinoor Devanagari" w:cs="Kohinoor Devanagari"/>
          <w:sz w:val="20"/>
          <w:szCs w:val="20"/>
        </w:rPr>
        <w:t xml:space="preserve"> : </w:t>
      </w:r>
    </w:p>
    <w:p w14:paraId="10089527" w14:textId="495BECC9" w:rsidR="00A708EE" w:rsidRPr="00240C99" w:rsidRDefault="00A708EE" w:rsidP="00240C99">
      <w:pPr>
        <w:numPr>
          <w:ilvl w:val="0"/>
          <w:numId w:val="128"/>
        </w:numPr>
        <w:spacing w:before="120" w:after="120" w:line="240" w:lineRule="auto"/>
        <w:rPr>
          <w:rFonts w:ascii="Kohinoor Devanagari" w:hAnsi="Kohinoor Devanagari" w:cs="Kohinoor Devanagari"/>
          <w:sz w:val="20"/>
          <w:szCs w:val="20"/>
        </w:rPr>
      </w:pPr>
      <w:r w:rsidRPr="00240C99">
        <w:rPr>
          <w:rFonts w:ascii="Kohinoor Devanagari" w:hAnsi="Kohinoor Devanagari" w:cs="Kohinoor Devanagari"/>
          <w:sz w:val="20"/>
          <w:szCs w:val="20"/>
        </w:rPr>
        <w:lastRenderedPageBreak/>
        <w:t>Informations souvent partielles, non datées ou non mises à jour régulièrement.</w:t>
      </w:r>
    </w:p>
    <w:p w14:paraId="344EB722" w14:textId="5B4C712C" w:rsidR="00A708EE" w:rsidRPr="00A708EE" w:rsidRDefault="00A708EE" w:rsidP="00240C99">
      <w:pPr>
        <w:numPr>
          <w:ilvl w:val="0"/>
          <w:numId w:val="128"/>
        </w:numPr>
        <w:spacing w:before="120" w:after="120" w:line="240" w:lineRule="auto"/>
        <w:rPr>
          <w:rFonts w:ascii="Kohinoor Devanagari" w:hAnsi="Kohinoor Devanagari" w:cs="Kohinoor Devanagari"/>
          <w:sz w:val="20"/>
          <w:szCs w:val="20"/>
        </w:rPr>
      </w:pPr>
      <w:r w:rsidRPr="00A708EE">
        <w:rPr>
          <w:rFonts w:ascii="Kohinoor Devanagari" w:hAnsi="Kohinoor Devanagari" w:cs="Kohinoor Devanagari"/>
          <w:sz w:val="20"/>
          <w:szCs w:val="20"/>
        </w:rPr>
        <w:t>Absence de formats ouverts ou de jeux de données téléchargeables (Excel, CSV).</w:t>
      </w:r>
    </w:p>
    <w:p w14:paraId="4AD47582" w14:textId="0CAE6C34" w:rsidR="00A708EE" w:rsidRPr="00A708EE" w:rsidRDefault="00A708EE" w:rsidP="00240C99">
      <w:pPr>
        <w:numPr>
          <w:ilvl w:val="0"/>
          <w:numId w:val="128"/>
        </w:numPr>
        <w:spacing w:before="120" w:after="120" w:line="240" w:lineRule="auto"/>
        <w:rPr>
          <w:rFonts w:ascii="Kohinoor Devanagari" w:hAnsi="Kohinoor Devanagari" w:cs="Kohinoor Devanagari"/>
          <w:sz w:val="20"/>
          <w:szCs w:val="20"/>
        </w:rPr>
      </w:pPr>
      <w:r w:rsidRPr="00A708EE">
        <w:rPr>
          <w:rFonts w:ascii="Kohinoor Devanagari" w:hAnsi="Kohinoor Devanagari" w:cs="Kohinoor Devanagari"/>
          <w:sz w:val="20"/>
          <w:szCs w:val="20"/>
        </w:rPr>
        <w:t>Pas d’interconnexion avec le cadastre minier ou le portail ITIE.</w:t>
      </w:r>
    </w:p>
    <w:p w14:paraId="6A65BC0B" w14:textId="67DA4D87" w:rsidR="00F83041" w:rsidRPr="00240C99" w:rsidRDefault="00F83041" w:rsidP="00240C99">
      <w:pPr>
        <w:pStyle w:val="Paragraphedeliste"/>
        <w:numPr>
          <w:ilvl w:val="3"/>
          <w:numId w:val="8"/>
        </w:num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240C99">
        <w:rPr>
          <w:rFonts w:ascii="Kohinoor Devanagari" w:eastAsia="Times New Roman" w:hAnsi="Kohinoor Devanagari" w:cs="Kohinoor Devanagari"/>
          <w:b/>
          <w:bCs/>
          <w:color w:val="000000" w:themeColor="text1"/>
          <w:kern w:val="0"/>
          <w:sz w:val="20"/>
          <w:szCs w:val="20"/>
          <w:lang w:eastAsia="fr-FR"/>
        </w:rPr>
        <w:t>Portail du</w:t>
      </w:r>
      <w:r w:rsidRPr="00240C99">
        <w:rPr>
          <w:rFonts w:ascii="Kohinoor Devanagari" w:hAnsi="Kohinoor Devanagari" w:cs="Kohinoor Devanagari"/>
          <w:sz w:val="20"/>
          <w:szCs w:val="20"/>
        </w:rPr>
        <w:t xml:space="preserve"> </w:t>
      </w:r>
      <w:r w:rsidR="00F338FC" w:rsidRPr="00240C99">
        <w:rPr>
          <w:rFonts w:ascii="Kohinoor Devanagari" w:eastAsia="Times New Roman" w:hAnsi="Kohinoor Devanagari" w:cs="Kohinoor Devanagari"/>
          <w:b/>
          <w:bCs/>
          <w:color w:val="000000" w:themeColor="text1"/>
          <w:kern w:val="0"/>
          <w:sz w:val="20"/>
          <w:szCs w:val="20"/>
          <w:lang w:eastAsia="fr-FR"/>
        </w:rPr>
        <w:t>Cadastre minier</w:t>
      </w:r>
      <w:r w:rsidRPr="00240C99" w:rsidDel="00F83041">
        <w:rPr>
          <w:rFonts w:ascii="Kohinoor Devanagari" w:eastAsia="Times New Roman" w:hAnsi="Kohinoor Devanagari" w:cs="Kohinoor Devanagari"/>
          <w:b/>
          <w:bCs/>
          <w:color w:val="000000" w:themeColor="text1"/>
          <w:kern w:val="0"/>
          <w:sz w:val="20"/>
          <w:szCs w:val="20"/>
          <w:lang w:eastAsia="fr-FR"/>
        </w:rPr>
        <w:t xml:space="preserve"> </w:t>
      </w:r>
    </w:p>
    <w:p w14:paraId="108185AA" w14:textId="5556EF6C" w:rsidR="00B9673F" w:rsidRPr="00B9673F" w:rsidRDefault="007D5F80" w:rsidP="00240C99">
      <w:pPr>
        <w:spacing w:before="120" w:after="120" w:line="240" w:lineRule="auto"/>
        <w:jc w:val="both"/>
        <w:rPr>
          <w:rFonts w:ascii="Kohinoor Devanagari" w:hAnsi="Kohinoor Devanagari" w:cs="Kohinoor Devanagari"/>
          <w:sz w:val="20"/>
          <w:szCs w:val="20"/>
          <w:shd w:val="clear" w:color="auto" w:fill="FFFFFF"/>
        </w:rPr>
      </w:pPr>
      <w:r w:rsidRPr="00240C99">
        <w:rPr>
          <w:rFonts w:ascii="Kohinoor Devanagari" w:hAnsi="Kohinoor Devanagari" w:cs="Kohinoor Devanagari"/>
          <w:noProof/>
          <w:sz w:val="20"/>
          <w:szCs w:val="20"/>
          <w:lang w:eastAsia="fr-FR"/>
        </w:rPr>
        <w:drawing>
          <wp:anchor distT="0" distB="0" distL="114300" distR="114300" simplePos="0" relativeHeight="251643392" behindDoc="1" locked="0" layoutInCell="1" allowOverlap="1" wp14:anchorId="2EC946ED" wp14:editId="032BEA50">
            <wp:simplePos x="0" y="0"/>
            <wp:positionH relativeFrom="margin">
              <wp:align>right</wp:align>
            </wp:positionH>
            <wp:positionV relativeFrom="paragraph">
              <wp:posOffset>192538</wp:posOffset>
            </wp:positionV>
            <wp:extent cx="4201760" cy="1944490"/>
            <wp:effectExtent l="0" t="0" r="8890" b="0"/>
            <wp:wrapThrough wrapText="bothSides">
              <wp:wrapPolygon edited="0">
                <wp:start x="0" y="0"/>
                <wp:lineTo x="0" y="21374"/>
                <wp:lineTo x="21548" y="21374"/>
                <wp:lineTo x="21548" y="0"/>
                <wp:lineTo x="0" y="0"/>
              </wp:wrapPolygon>
            </wp:wrapThrough>
            <wp:docPr id="14612841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84137" name="Imag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201760" cy="194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73F" w:rsidRPr="00B9673F">
        <w:rPr>
          <w:rFonts w:ascii="Kohinoor Devanagari" w:hAnsi="Kohinoor Devanagari" w:cs="Kohinoor Devanagari"/>
          <w:sz w:val="20"/>
          <w:szCs w:val="20"/>
          <w:shd w:val="clear" w:color="auto" w:fill="FFFFFF"/>
        </w:rPr>
        <w:t xml:space="preserve">Le </w:t>
      </w:r>
      <w:hyperlink r:id="rId34" w:history="1">
        <w:r w:rsidR="00B9673F" w:rsidRPr="00B9673F">
          <w:rPr>
            <w:rStyle w:val="Lienhypertexte"/>
            <w:rFonts w:ascii="Kohinoor Devanagari" w:hAnsi="Kohinoor Devanagari" w:cs="Kohinoor Devanagari"/>
            <w:sz w:val="20"/>
            <w:szCs w:val="20"/>
            <w:shd w:val="clear" w:color="auto" w:fill="FFFFFF"/>
          </w:rPr>
          <w:t>portail public</w:t>
        </w:r>
      </w:hyperlink>
      <w:r w:rsidR="00B9673F" w:rsidRPr="00B9673F">
        <w:rPr>
          <w:rFonts w:ascii="Kohinoor Devanagari" w:hAnsi="Kohinoor Devanagari" w:cs="Kohinoor Devanagari"/>
          <w:sz w:val="20"/>
          <w:szCs w:val="20"/>
          <w:shd w:val="clear" w:color="auto" w:fill="FFFFFF"/>
        </w:rPr>
        <w:t xml:space="preserve"> du cadastre minier camerounais, géré par la Sous-direction du Cadastre Minier (MINMIDT), repose sur le système </w:t>
      </w:r>
      <w:proofErr w:type="spellStart"/>
      <w:r w:rsidR="00B9673F" w:rsidRPr="00B9673F">
        <w:rPr>
          <w:rFonts w:ascii="Kohinoor Devanagari" w:hAnsi="Kohinoor Devanagari" w:cs="Kohinoor Devanagari"/>
          <w:sz w:val="20"/>
          <w:szCs w:val="20"/>
          <w:shd w:val="clear" w:color="auto" w:fill="FFFFFF"/>
        </w:rPr>
        <w:t>FlexiCadastre</w:t>
      </w:r>
      <w:proofErr w:type="spellEnd"/>
      <w:r w:rsidR="00B9673F" w:rsidRPr="00B9673F">
        <w:rPr>
          <w:rFonts w:ascii="Kohinoor Devanagari" w:hAnsi="Kohinoor Devanagari" w:cs="Kohinoor Devanagari"/>
          <w:sz w:val="20"/>
          <w:szCs w:val="20"/>
          <w:shd w:val="clear" w:color="auto" w:fill="FFFFFF"/>
        </w:rPr>
        <w:t xml:space="preserve"> (</w:t>
      </w:r>
      <w:proofErr w:type="spellStart"/>
      <w:r w:rsidR="00B9673F" w:rsidRPr="00B9673F">
        <w:rPr>
          <w:rFonts w:ascii="Kohinoor Devanagari" w:hAnsi="Kohinoor Devanagari" w:cs="Kohinoor Devanagari"/>
          <w:sz w:val="20"/>
          <w:szCs w:val="20"/>
          <w:shd w:val="clear" w:color="auto" w:fill="FFFFFF"/>
        </w:rPr>
        <w:t>Landfolio</w:t>
      </w:r>
      <w:proofErr w:type="spellEnd"/>
      <w:r w:rsidR="00B9673F" w:rsidRPr="00B9673F">
        <w:rPr>
          <w:rFonts w:ascii="Kohinoor Devanagari" w:hAnsi="Kohinoor Devanagari" w:cs="Kohinoor Devanagari"/>
          <w:sz w:val="20"/>
          <w:szCs w:val="20"/>
          <w:shd w:val="clear" w:color="auto" w:fill="FFFFFF"/>
        </w:rPr>
        <w:t>). Il permet la consultation en ligne de certaines données relatives aux titres miniers industriels : type, statut, dates clés, substances, superficie. Les mises à jour sont mensuelles, synchronisées avec les opérations enregistrées dans le système interne.</w:t>
      </w:r>
    </w:p>
    <w:p w14:paraId="53F1899F" w14:textId="77777777" w:rsidR="00B9673F" w:rsidRPr="00B9673F" w:rsidRDefault="00B9673F" w:rsidP="00240C99">
      <w:p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sz w:val="20"/>
          <w:szCs w:val="20"/>
          <w:shd w:val="clear" w:color="auto" w:fill="FFFFFF"/>
        </w:rPr>
        <w:t xml:space="preserve">Cependant, </w:t>
      </w:r>
      <w:r w:rsidRPr="00B9673F">
        <w:rPr>
          <w:rFonts w:ascii="Kohinoor Devanagari" w:hAnsi="Kohinoor Devanagari" w:cs="Kohinoor Devanagari"/>
          <w:b/>
          <w:bCs/>
          <w:sz w:val="20"/>
          <w:szCs w:val="20"/>
          <w:shd w:val="clear" w:color="auto" w:fill="FFFFFF"/>
        </w:rPr>
        <w:t>plusieurs limitations entravent une divulgation systématique complète</w:t>
      </w:r>
      <w:r w:rsidRPr="00B9673F">
        <w:rPr>
          <w:rFonts w:ascii="Kohinoor Devanagari" w:hAnsi="Kohinoor Devanagari" w:cs="Kohinoor Devanagari"/>
          <w:sz w:val="20"/>
          <w:szCs w:val="20"/>
          <w:shd w:val="clear" w:color="auto" w:fill="FFFFFF"/>
        </w:rPr>
        <w:t xml:space="preserve"> :</w:t>
      </w:r>
    </w:p>
    <w:p w14:paraId="743981CF" w14:textId="77777777" w:rsidR="00B9673F" w:rsidRPr="00B9673F" w:rsidRDefault="00B9673F" w:rsidP="00240C99">
      <w:pPr>
        <w:numPr>
          <w:ilvl w:val="0"/>
          <w:numId w:val="123"/>
        </w:num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b/>
          <w:bCs/>
          <w:sz w:val="20"/>
          <w:szCs w:val="20"/>
          <w:shd w:val="clear" w:color="auto" w:fill="FFFFFF"/>
        </w:rPr>
        <w:t>Exclusion des autorisations artisanales</w:t>
      </w:r>
      <w:r w:rsidRPr="00B9673F">
        <w:rPr>
          <w:rFonts w:ascii="Kohinoor Devanagari" w:hAnsi="Kohinoor Devanagari" w:cs="Kohinoor Devanagari"/>
          <w:sz w:val="20"/>
          <w:szCs w:val="20"/>
          <w:shd w:val="clear" w:color="auto" w:fill="FFFFFF"/>
        </w:rPr>
        <w:t xml:space="preserve"> et </w:t>
      </w:r>
      <w:r w:rsidRPr="00B9673F">
        <w:rPr>
          <w:rFonts w:ascii="Kohinoor Devanagari" w:hAnsi="Kohinoor Devanagari" w:cs="Kohinoor Devanagari"/>
          <w:b/>
          <w:bCs/>
          <w:sz w:val="20"/>
          <w:szCs w:val="20"/>
          <w:shd w:val="clear" w:color="auto" w:fill="FFFFFF"/>
        </w:rPr>
        <w:t>des permis d’exploitation d’eau minérale</w:t>
      </w:r>
      <w:r w:rsidRPr="00B9673F">
        <w:rPr>
          <w:rFonts w:ascii="Kohinoor Devanagari" w:hAnsi="Kohinoor Devanagari" w:cs="Kohinoor Devanagari"/>
          <w:sz w:val="20"/>
          <w:szCs w:val="20"/>
          <w:shd w:val="clear" w:color="auto" w:fill="FFFFFF"/>
        </w:rPr>
        <w:t>, non intégrés dans le système ;</w:t>
      </w:r>
    </w:p>
    <w:p w14:paraId="5D35D55D" w14:textId="77777777" w:rsidR="00B9673F" w:rsidRPr="00B9673F" w:rsidRDefault="00B9673F" w:rsidP="00240C99">
      <w:pPr>
        <w:numPr>
          <w:ilvl w:val="0"/>
          <w:numId w:val="123"/>
        </w:num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b/>
          <w:bCs/>
          <w:sz w:val="20"/>
          <w:szCs w:val="20"/>
          <w:shd w:val="clear" w:color="auto" w:fill="FFFFFF"/>
        </w:rPr>
        <w:t>Absence de publication des conventions minières</w:t>
      </w:r>
      <w:r w:rsidRPr="00B9673F">
        <w:rPr>
          <w:rFonts w:ascii="Kohinoor Devanagari" w:hAnsi="Kohinoor Devanagari" w:cs="Kohinoor Devanagari"/>
          <w:sz w:val="20"/>
          <w:szCs w:val="20"/>
          <w:shd w:val="clear" w:color="auto" w:fill="FFFFFF"/>
        </w:rPr>
        <w:t xml:space="preserve"> et des documents d’octroi dans le portail public, bien qu’archivés en interne ;</w:t>
      </w:r>
    </w:p>
    <w:p w14:paraId="754731AA" w14:textId="77777777" w:rsidR="00B9673F" w:rsidRPr="00B9673F" w:rsidRDefault="00B9673F" w:rsidP="00240C99">
      <w:pPr>
        <w:numPr>
          <w:ilvl w:val="0"/>
          <w:numId w:val="123"/>
        </w:num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b/>
          <w:bCs/>
          <w:sz w:val="20"/>
          <w:szCs w:val="20"/>
          <w:shd w:val="clear" w:color="auto" w:fill="FFFFFF"/>
        </w:rPr>
        <w:t>Impossibilité d’extraction automatisée ou de téléchargement de données en formats ouverts</w:t>
      </w:r>
      <w:r w:rsidRPr="00B9673F">
        <w:rPr>
          <w:rFonts w:ascii="Kohinoor Devanagari" w:hAnsi="Kohinoor Devanagari" w:cs="Kohinoor Devanagari"/>
          <w:sz w:val="20"/>
          <w:szCs w:val="20"/>
          <w:shd w:val="clear" w:color="auto" w:fill="FFFFFF"/>
        </w:rPr>
        <w:t xml:space="preserve"> (CSV, Excel) ;</w:t>
      </w:r>
    </w:p>
    <w:p w14:paraId="474941A4" w14:textId="77777777" w:rsidR="00B9673F" w:rsidRPr="00B9673F" w:rsidRDefault="00B9673F" w:rsidP="00240C99">
      <w:pPr>
        <w:numPr>
          <w:ilvl w:val="0"/>
          <w:numId w:val="123"/>
        </w:num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b/>
          <w:bCs/>
          <w:sz w:val="20"/>
          <w:szCs w:val="20"/>
          <w:shd w:val="clear" w:color="auto" w:fill="FFFFFF"/>
        </w:rPr>
        <w:t>Absence de champs relatifs à l’identifiant fiscal, à la propriété réelle et à la structure actionnariale</w:t>
      </w:r>
      <w:r w:rsidRPr="00B9673F">
        <w:rPr>
          <w:rFonts w:ascii="Kohinoor Devanagari" w:hAnsi="Kohinoor Devanagari" w:cs="Kohinoor Devanagari"/>
          <w:sz w:val="20"/>
          <w:szCs w:val="20"/>
          <w:shd w:val="clear" w:color="auto" w:fill="FFFFFF"/>
        </w:rPr>
        <w:t>, limitant l’interopérabilité ;</w:t>
      </w:r>
    </w:p>
    <w:p w14:paraId="60680638" w14:textId="23473B40" w:rsidR="00B9673F" w:rsidRPr="00B9673F" w:rsidRDefault="00B9673F" w:rsidP="00240C99">
      <w:pPr>
        <w:numPr>
          <w:ilvl w:val="0"/>
          <w:numId w:val="123"/>
        </w:num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b/>
          <w:bCs/>
          <w:sz w:val="20"/>
          <w:szCs w:val="20"/>
          <w:shd w:val="clear" w:color="auto" w:fill="FFFFFF"/>
        </w:rPr>
        <w:t>Critères de capacité technique et financière non renseignés</w:t>
      </w:r>
      <w:r w:rsidRPr="00B9673F">
        <w:rPr>
          <w:rFonts w:ascii="Kohinoor Devanagari" w:hAnsi="Kohinoor Devanagari" w:cs="Kohinoor Devanagari"/>
          <w:sz w:val="20"/>
          <w:szCs w:val="20"/>
          <w:shd w:val="clear" w:color="auto" w:fill="FFFFFF"/>
        </w:rPr>
        <w:t xml:space="preserve"> dans le système malgré les dispositions réglementaires de 2024 ;</w:t>
      </w:r>
    </w:p>
    <w:p w14:paraId="11C383CA" w14:textId="38EED3E1" w:rsidR="00B9673F" w:rsidRPr="00B9673F" w:rsidRDefault="00B9673F" w:rsidP="00240C99">
      <w:pPr>
        <w:numPr>
          <w:ilvl w:val="0"/>
          <w:numId w:val="123"/>
        </w:numPr>
        <w:spacing w:before="120" w:after="120" w:line="240" w:lineRule="auto"/>
        <w:jc w:val="both"/>
        <w:rPr>
          <w:rFonts w:ascii="Kohinoor Devanagari" w:hAnsi="Kohinoor Devanagari" w:cs="Kohinoor Devanagari"/>
          <w:sz w:val="20"/>
          <w:szCs w:val="20"/>
          <w:shd w:val="clear" w:color="auto" w:fill="FFFFFF"/>
        </w:rPr>
      </w:pPr>
      <w:r w:rsidRPr="00B9673F">
        <w:rPr>
          <w:rFonts w:ascii="Kohinoor Devanagari" w:hAnsi="Kohinoor Devanagari" w:cs="Kohinoor Devanagari"/>
          <w:b/>
          <w:bCs/>
          <w:sz w:val="20"/>
          <w:szCs w:val="20"/>
          <w:shd w:val="clear" w:color="auto" w:fill="FFFFFF"/>
        </w:rPr>
        <w:t>Fiabilité partielle des données publiques (estimée à 95</w:t>
      </w:r>
      <w:r w:rsidRPr="00B9673F">
        <w:rPr>
          <w:rFonts w:ascii="Times New Roman" w:hAnsi="Times New Roman" w:cs="Times New Roman"/>
          <w:b/>
          <w:bCs/>
          <w:sz w:val="20"/>
          <w:szCs w:val="20"/>
          <w:shd w:val="clear" w:color="auto" w:fill="FFFFFF"/>
        </w:rPr>
        <w:t> </w:t>
      </w:r>
      <w:r w:rsidRPr="00B9673F">
        <w:rPr>
          <w:rFonts w:ascii="Kohinoor Devanagari" w:hAnsi="Kohinoor Devanagari" w:cs="Kohinoor Devanagari"/>
          <w:b/>
          <w:bCs/>
          <w:sz w:val="20"/>
          <w:szCs w:val="20"/>
          <w:shd w:val="clear" w:color="auto" w:fill="FFFFFF"/>
        </w:rPr>
        <w:t>%)</w:t>
      </w:r>
      <w:r w:rsidRPr="00B9673F">
        <w:rPr>
          <w:rFonts w:ascii="Kohinoor Devanagari" w:hAnsi="Kohinoor Devanagari" w:cs="Kohinoor Devanagari"/>
          <w:sz w:val="20"/>
          <w:szCs w:val="20"/>
          <w:shd w:val="clear" w:color="auto" w:fill="FFFFFF"/>
        </w:rPr>
        <w:t xml:space="preserve">, en raison </w:t>
      </w:r>
      <w:r w:rsidR="007D5F80" w:rsidRPr="00240C99">
        <w:rPr>
          <w:rFonts w:ascii="Kohinoor Devanagari" w:hAnsi="Kohinoor Devanagari" w:cs="Kohinoor Devanagari"/>
          <w:sz w:val="20"/>
          <w:szCs w:val="20"/>
          <w:shd w:val="clear" w:color="auto" w:fill="FFFFFF"/>
        </w:rPr>
        <w:t xml:space="preserve">d’un </w:t>
      </w:r>
      <w:r w:rsidR="00685B0A" w:rsidRPr="00240C99">
        <w:rPr>
          <w:rFonts w:ascii="Kohinoor Devanagari" w:hAnsi="Kohinoor Devanagari" w:cs="Kohinoor Devanagari"/>
          <w:sz w:val="20"/>
          <w:szCs w:val="20"/>
          <w:shd w:val="clear" w:color="auto" w:fill="FFFFFF"/>
        </w:rPr>
        <w:t xml:space="preserve">manque d’efficience dans </w:t>
      </w:r>
      <w:r w:rsidRPr="00B9673F">
        <w:rPr>
          <w:rFonts w:ascii="Kohinoor Devanagari" w:hAnsi="Kohinoor Devanagari" w:cs="Kohinoor Devanagari"/>
          <w:sz w:val="20"/>
          <w:szCs w:val="20"/>
          <w:shd w:val="clear" w:color="auto" w:fill="FFFFFF"/>
        </w:rPr>
        <w:t>la transmission des actes à la sous-direction.</w:t>
      </w:r>
    </w:p>
    <w:p w14:paraId="750A5228" w14:textId="77777777" w:rsidR="00323431" w:rsidRDefault="00323431">
      <w:pPr>
        <w:rPr>
          <w:rFonts w:ascii="Kohinoor Devanagari" w:eastAsia="Times New Roman" w:hAnsi="Kohinoor Devanagari" w:cs="Kohinoor Devanagari"/>
          <w:b/>
          <w:bCs/>
          <w:color w:val="000000" w:themeColor="text1"/>
          <w:kern w:val="0"/>
          <w:sz w:val="20"/>
          <w:szCs w:val="20"/>
          <w:lang w:eastAsia="fr-FR"/>
        </w:rPr>
      </w:pPr>
      <w:r>
        <w:rPr>
          <w:rFonts w:ascii="Kohinoor Devanagari" w:eastAsia="Times New Roman" w:hAnsi="Kohinoor Devanagari" w:cs="Kohinoor Devanagari"/>
          <w:b/>
          <w:bCs/>
          <w:color w:val="000000" w:themeColor="text1"/>
          <w:kern w:val="0"/>
          <w:sz w:val="20"/>
          <w:szCs w:val="20"/>
          <w:lang w:eastAsia="fr-FR"/>
        </w:rPr>
        <w:br w:type="page"/>
      </w:r>
    </w:p>
    <w:p w14:paraId="36CF5814" w14:textId="0E1C76E8" w:rsidR="00831E99" w:rsidRPr="00240C99" w:rsidRDefault="00831E99" w:rsidP="00240C99">
      <w:pPr>
        <w:pStyle w:val="Paragraphedeliste"/>
        <w:numPr>
          <w:ilvl w:val="3"/>
          <w:numId w:val="8"/>
        </w:num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240C99">
        <w:rPr>
          <w:rFonts w:ascii="Kohinoor Devanagari" w:eastAsia="Times New Roman" w:hAnsi="Kohinoor Devanagari" w:cs="Kohinoor Devanagari"/>
          <w:b/>
          <w:bCs/>
          <w:color w:val="000000" w:themeColor="text1"/>
          <w:kern w:val="0"/>
          <w:sz w:val="20"/>
          <w:szCs w:val="20"/>
          <w:lang w:eastAsia="fr-FR"/>
        </w:rPr>
        <w:lastRenderedPageBreak/>
        <w:t>Site Web de la SNH</w:t>
      </w:r>
      <w:r w:rsidR="00EB5644" w:rsidRPr="00240C99">
        <w:rPr>
          <w:rFonts w:ascii="Kohinoor Devanagari" w:eastAsia="Times New Roman" w:hAnsi="Kohinoor Devanagari" w:cs="Kohinoor Devanagari"/>
          <w:b/>
          <w:bCs/>
          <w:color w:val="000000" w:themeColor="text1"/>
          <w:kern w:val="0"/>
          <w:sz w:val="20"/>
          <w:szCs w:val="20"/>
          <w:lang w:eastAsia="fr-FR"/>
        </w:rPr>
        <w:t> </w:t>
      </w:r>
      <w:r w:rsidRPr="00240C99" w:rsidDel="00F83041">
        <w:rPr>
          <w:rFonts w:ascii="Kohinoor Devanagari" w:eastAsia="Times New Roman" w:hAnsi="Kohinoor Devanagari" w:cs="Kohinoor Devanagari"/>
          <w:b/>
          <w:bCs/>
          <w:color w:val="000000" w:themeColor="text1"/>
          <w:kern w:val="0"/>
          <w:sz w:val="20"/>
          <w:szCs w:val="20"/>
          <w:lang w:eastAsia="fr-FR"/>
        </w:rPr>
        <w:t xml:space="preserve"> </w:t>
      </w:r>
    </w:p>
    <w:p w14:paraId="10EA0551" w14:textId="6FEFBF39" w:rsidR="005D7DAE" w:rsidRPr="005D7DAE" w:rsidRDefault="005D7DAE" w:rsidP="00240C99">
      <w:pPr>
        <w:spacing w:before="120" w:after="120" w:line="240" w:lineRule="auto"/>
        <w:jc w:val="both"/>
        <w:rPr>
          <w:rFonts w:ascii="Kohinoor Devanagari" w:hAnsi="Kohinoor Devanagari" w:cs="Kohinoor Devanagari"/>
          <w:sz w:val="20"/>
          <w:szCs w:val="20"/>
          <w:shd w:val="clear" w:color="auto" w:fill="FFFFFF"/>
        </w:rPr>
      </w:pPr>
      <w:r w:rsidRPr="005D7DAE">
        <w:rPr>
          <w:rFonts w:ascii="Kohinoor Devanagari" w:hAnsi="Kohinoor Devanagari" w:cs="Kohinoor Devanagari"/>
          <w:sz w:val="20"/>
          <w:szCs w:val="20"/>
          <w:shd w:val="clear" w:color="auto" w:fill="FFFFFF"/>
        </w:rPr>
        <w:t>Le site officiel de la SNH (</w:t>
      </w:r>
      <w:hyperlink r:id="rId35" w:tgtFrame="_new" w:history="1">
        <w:r w:rsidRPr="005D7DAE">
          <w:rPr>
            <w:rStyle w:val="Lienhypertexte"/>
            <w:rFonts w:ascii="Kohinoor Devanagari" w:hAnsi="Kohinoor Devanagari" w:cs="Kohinoor Devanagari"/>
            <w:sz w:val="20"/>
            <w:szCs w:val="20"/>
            <w:shd w:val="clear" w:color="auto" w:fill="FFFFFF"/>
          </w:rPr>
          <w:t>www.snh.cm</w:t>
        </w:r>
      </w:hyperlink>
      <w:r w:rsidRPr="005D7DAE">
        <w:rPr>
          <w:rFonts w:ascii="Kohinoor Devanagari" w:hAnsi="Kohinoor Devanagari" w:cs="Kohinoor Devanagari"/>
          <w:sz w:val="20"/>
          <w:szCs w:val="20"/>
          <w:shd w:val="clear" w:color="auto" w:fill="FFFFFF"/>
        </w:rPr>
        <w:t>) constitue un canal important de divulgation d’informations sur le secteur pétrolier. Il comporte :</w:t>
      </w:r>
      <w:r w:rsidR="00F62D17" w:rsidRPr="00240C99">
        <w:rPr>
          <w:rFonts w:ascii="Kohinoor Devanagari" w:hAnsi="Kohinoor Devanagari" w:cs="Kohinoor Devanagari"/>
          <w:noProof/>
          <w:sz w:val="20"/>
          <w:szCs w:val="20"/>
        </w:rPr>
        <w:t xml:space="preserve"> </w:t>
      </w:r>
    </w:p>
    <w:p w14:paraId="7CDAA354" w14:textId="5B87D089" w:rsidR="005D7DAE" w:rsidRPr="005D7DAE" w:rsidRDefault="006C0DEF" w:rsidP="00240C99">
      <w:pPr>
        <w:numPr>
          <w:ilvl w:val="0"/>
          <w:numId w:val="124"/>
        </w:numPr>
        <w:spacing w:before="120" w:after="120" w:line="240" w:lineRule="auto"/>
        <w:jc w:val="both"/>
        <w:rPr>
          <w:rFonts w:ascii="Kohinoor Devanagari" w:hAnsi="Kohinoor Devanagari" w:cs="Kohinoor Devanagari"/>
          <w:sz w:val="20"/>
          <w:szCs w:val="20"/>
          <w:shd w:val="clear" w:color="auto" w:fill="FFFFFF"/>
        </w:rPr>
      </w:pPr>
      <w:r w:rsidRPr="00240C99">
        <w:rPr>
          <w:rFonts w:ascii="Kohinoor Devanagari" w:hAnsi="Kohinoor Devanagari" w:cs="Kohinoor Devanagari"/>
          <w:noProof/>
          <w:sz w:val="20"/>
          <w:szCs w:val="20"/>
          <w:shd w:val="clear" w:color="auto" w:fill="FFFFFF"/>
        </w:rPr>
        <w:drawing>
          <wp:anchor distT="0" distB="0" distL="114300" distR="114300" simplePos="0" relativeHeight="251663872" behindDoc="0" locked="0" layoutInCell="1" allowOverlap="1" wp14:anchorId="4ABD0B9C" wp14:editId="04580817">
            <wp:simplePos x="0" y="0"/>
            <wp:positionH relativeFrom="margin">
              <wp:align>right</wp:align>
            </wp:positionH>
            <wp:positionV relativeFrom="paragraph">
              <wp:posOffset>8255</wp:posOffset>
            </wp:positionV>
            <wp:extent cx="3901440" cy="2135505"/>
            <wp:effectExtent l="0" t="0" r="3810" b="0"/>
            <wp:wrapSquare wrapText="bothSides"/>
            <wp:docPr id="1214051539" name="Image 1" descr="Une image contenant texte, eau, capture d’écran,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51539" name="Image 1" descr="Une image contenant texte, eau, capture d’écran, plein air&#10;&#10;Le contenu généré par l’IA peut êtr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01440" cy="2135505"/>
                    </a:xfrm>
                    <a:prstGeom prst="rect">
                      <a:avLst/>
                    </a:prstGeom>
                  </pic:spPr>
                </pic:pic>
              </a:graphicData>
            </a:graphic>
          </wp:anchor>
        </w:drawing>
      </w:r>
      <w:r w:rsidR="005D7DAE" w:rsidRPr="005D7DAE">
        <w:rPr>
          <w:rFonts w:ascii="Kohinoor Devanagari" w:hAnsi="Kohinoor Devanagari" w:cs="Kohinoor Devanagari"/>
          <w:sz w:val="20"/>
          <w:szCs w:val="20"/>
          <w:shd w:val="clear" w:color="auto" w:fill="FFFFFF"/>
        </w:rPr>
        <w:t>Une section dédiée à l’ITIE (rapports, lois) ;</w:t>
      </w:r>
    </w:p>
    <w:p w14:paraId="6AB8C27A" w14:textId="77777777" w:rsidR="005D7DAE" w:rsidRPr="005D7DAE" w:rsidRDefault="005D7DAE" w:rsidP="00240C99">
      <w:pPr>
        <w:numPr>
          <w:ilvl w:val="0"/>
          <w:numId w:val="124"/>
        </w:numPr>
        <w:spacing w:before="120" w:after="120" w:line="240" w:lineRule="auto"/>
        <w:jc w:val="both"/>
        <w:rPr>
          <w:rFonts w:ascii="Kohinoor Devanagari" w:hAnsi="Kohinoor Devanagari" w:cs="Kohinoor Devanagari"/>
          <w:sz w:val="20"/>
          <w:szCs w:val="20"/>
          <w:shd w:val="clear" w:color="auto" w:fill="FFFFFF"/>
        </w:rPr>
      </w:pPr>
      <w:r w:rsidRPr="005D7DAE">
        <w:rPr>
          <w:rFonts w:ascii="Kohinoor Devanagari" w:hAnsi="Kohinoor Devanagari" w:cs="Kohinoor Devanagari"/>
          <w:sz w:val="20"/>
          <w:szCs w:val="20"/>
          <w:shd w:val="clear" w:color="auto" w:fill="FFFFFF"/>
        </w:rPr>
        <w:t xml:space="preserve">Une rubrique « Informations financières » avec les </w:t>
      </w:r>
      <w:r w:rsidRPr="005D7DAE">
        <w:rPr>
          <w:rFonts w:ascii="Kohinoor Devanagari" w:hAnsi="Kohinoor Devanagari" w:cs="Kohinoor Devanagari"/>
          <w:b/>
          <w:bCs/>
          <w:sz w:val="20"/>
          <w:szCs w:val="20"/>
          <w:shd w:val="clear" w:color="auto" w:fill="FFFFFF"/>
        </w:rPr>
        <w:t>états financiers</w:t>
      </w:r>
      <w:r w:rsidRPr="005D7DAE">
        <w:rPr>
          <w:rFonts w:ascii="Kohinoor Devanagari" w:hAnsi="Kohinoor Devanagari" w:cs="Kohinoor Devanagari"/>
          <w:sz w:val="20"/>
          <w:szCs w:val="20"/>
          <w:shd w:val="clear" w:color="auto" w:fill="FFFFFF"/>
        </w:rPr>
        <w:t xml:space="preserve"> ;</w:t>
      </w:r>
    </w:p>
    <w:p w14:paraId="4D09B0FD" w14:textId="77777777" w:rsidR="005D7DAE" w:rsidRPr="00240C99" w:rsidRDefault="005D7DAE" w:rsidP="00240C99">
      <w:pPr>
        <w:numPr>
          <w:ilvl w:val="0"/>
          <w:numId w:val="124"/>
        </w:numPr>
        <w:spacing w:before="120" w:after="120" w:line="240" w:lineRule="auto"/>
        <w:jc w:val="both"/>
        <w:rPr>
          <w:rFonts w:ascii="Kohinoor Devanagari" w:hAnsi="Kohinoor Devanagari" w:cs="Kohinoor Devanagari"/>
          <w:sz w:val="20"/>
          <w:szCs w:val="20"/>
          <w:shd w:val="clear" w:color="auto" w:fill="FFFFFF"/>
        </w:rPr>
      </w:pPr>
      <w:r w:rsidRPr="005D7DAE">
        <w:rPr>
          <w:rFonts w:ascii="Kohinoor Devanagari" w:hAnsi="Kohinoor Devanagari" w:cs="Kohinoor Devanagari"/>
          <w:sz w:val="20"/>
          <w:szCs w:val="20"/>
          <w:shd w:val="clear" w:color="auto" w:fill="FFFFFF"/>
        </w:rPr>
        <w:t xml:space="preserve">Une section « Activités » avec les </w:t>
      </w:r>
      <w:r w:rsidRPr="005D7DAE">
        <w:rPr>
          <w:rFonts w:ascii="Kohinoor Devanagari" w:hAnsi="Kohinoor Devanagari" w:cs="Kohinoor Devanagari"/>
          <w:b/>
          <w:bCs/>
          <w:sz w:val="20"/>
          <w:szCs w:val="20"/>
          <w:shd w:val="clear" w:color="auto" w:fill="FFFFFF"/>
        </w:rPr>
        <w:t>bulletins trimestriels</w:t>
      </w:r>
      <w:r w:rsidRPr="005D7DAE">
        <w:rPr>
          <w:rFonts w:ascii="Kohinoor Devanagari" w:hAnsi="Kohinoor Devanagari" w:cs="Kohinoor Devanagari"/>
          <w:sz w:val="20"/>
          <w:szCs w:val="20"/>
          <w:shd w:val="clear" w:color="auto" w:fill="FFFFFF"/>
        </w:rPr>
        <w:t xml:space="preserve"> de production, de transferts, de ventes de brut et de paiements au Trésor.</w:t>
      </w:r>
    </w:p>
    <w:p w14:paraId="3B93A6A0" w14:textId="039CD275" w:rsidR="005D7DAE" w:rsidRPr="00240C99" w:rsidRDefault="005D7DAE" w:rsidP="00240C99">
      <w:pPr>
        <w:numPr>
          <w:ilvl w:val="0"/>
          <w:numId w:val="124"/>
        </w:numPr>
        <w:spacing w:before="120" w:after="120" w:line="240" w:lineRule="auto"/>
        <w:jc w:val="both"/>
        <w:rPr>
          <w:rFonts w:ascii="Kohinoor Devanagari" w:hAnsi="Kohinoor Devanagari" w:cs="Kohinoor Devanagari"/>
          <w:sz w:val="20"/>
          <w:szCs w:val="20"/>
          <w:shd w:val="clear" w:color="auto" w:fill="FFFFFF"/>
        </w:rPr>
      </w:pPr>
      <w:r w:rsidRPr="00240C99">
        <w:rPr>
          <w:rFonts w:ascii="Kohinoor Devanagari" w:hAnsi="Kohinoor Devanagari" w:cs="Kohinoor Devanagari"/>
          <w:sz w:val="20"/>
          <w:szCs w:val="20"/>
          <w:shd w:val="clear" w:color="auto" w:fill="FFFFFF"/>
        </w:rPr>
        <w:t xml:space="preserve">Des </w:t>
      </w:r>
      <w:r w:rsidRPr="00240C99">
        <w:rPr>
          <w:rFonts w:ascii="Kohinoor Devanagari" w:hAnsi="Kohinoor Devanagari" w:cs="Kohinoor Devanagari"/>
          <w:b/>
          <w:bCs/>
          <w:sz w:val="20"/>
          <w:szCs w:val="20"/>
          <w:shd w:val="clear" w:color="auto" w:fill="FFFFFF"/>
        </w:rPr>
        <w:t>textes réglementaires</w:t>
      </w:r>
      <w:r w:rsidRPr="00240C99">
        <w:rPr>
          <w:rFonts w:ascii="Kohinoor Devanagari" w:hAnsi="Kohinoor Devanagari" w:cs="Kohinoor Devanagari"/>
          <w:sz w:val="20"/>
          <w:szCs w:val="20"/>
          <w:shd w:val="clear" w:color="auto" w:fill="FFFFFF"/>
        </w:rPr>
        <w:t xml:space="preserve"> relatifs au secteur pétrolier (lois, décrets, conventions) ;</w:t>
      </w:r>
    </w:p>
    <w:p w14:paraId="2A6C2C61" w14:textId="6216A9E9" w:rsidR="005D7DAE" w:rsidRPr="00240C99" w:rsidRDefault="005D7DAE" w:rsidP="00240C99">
      <w:pPr>
        <w:numPr>
          <w:ilvl w:val="0"/>
          <w:numId w:val="124"/>
        </w:numPr>
        <w:spacing w:before="120" w:after="120" w:line="240" w:lineRule="auto"/>
        <w:jc w:val="both"/>
        <w:rPr>
          <w:rFonts w:ascii="Kohinoor Devanagari" w:hAnsi="Kohinoor Devanagari" w:cs="Kohinoor Devanagari"/>
          <w:sz w:val="20"/>
          <w:szCs w:val="20"/>
          <w:shd w:val="clear" w:color="auto" w:fill="FFFFFF"/>
        </w:rPr>
      </w:pPr>
      <w:r w:rsidRPr="00240C99">
        <w:rPr>
          <w:rFonts w:ascii="Kohinoor Devanagari" w:hAnsi="Kohinoor Devanagari" w:cs="Kohinoor Devanagari"/>
          <w:sz w:val="20"/>
          <w:szCs w:val="20"/>
          <w:shd w:val="clear" w:color="auto" w:fill="FFFFFF"/>
        </w:rPr>
        <w:t>Des communiqués périodiques sur les recettes transférées à l’État et sur l’évolution des prix du brut.</w:t>
      </w:r>
    </w:p>
    <w:p w14:paraId="3E36AC2E" w14:textId="37DF181E" w:rsidR="00984EC4" w:rsidRPr="00240C99" w:rsidRDefault="00C66C3D" w:rsidP="00240C99">
      <w:pPr>
        <w:spacing w:before="120" w:after="120" w:line="240" w:lineRule="auto"/>
        <w:jc w:val="both"/>
        <w:rPr>
          <w:rFonts w:ascii="Kohinoor Devanagari" w:hAnsi="Kohinoor Devanagari" w:cs="Kohinoor Devanagari"/>
          <w:b/>
          <w:bCs/>
          <w:sz w:val="20"/>
          <w:szCs w:val="20"/>
          <w:shd w:val="clear" w:color="auto" w:fill="FFFFFF"/>
        </w:rPr>
      </w:pPr>
      <w:r w:rsidRPr="00240C99">
        <w:rPr>
          <w:rFonts w:ascii="Kohinoor Devanagari" w:hAnsi="Kohinoor Devanagari" w:cs="Kohinoor Devanagari"/>
          <w:b/>
          <w:bCs/>
          <w:sz w:val="20"/>
          <w:szCs w:val="20"/>
          <w:shd w:val="clear" w:color="auto" w:fill="FFFFFF"/>
        </w:rPr>
        <w:t>Données</w:t>
      </w:r>
      <w:r w:rsidR="00984EC4" w:rsidRPr="00240C99">
        <w:rPr>
          <w:rFonts w:ascii="Kohinoor Devanagari" w:hAnsi="Kohinoor Devanagari" w:cs="Kohinoor Devanagari"/>
          <w:b/>
          <w:bCs/>
          <w:sz w:val="20"/>
          <w:szCs w:val="20"/>
          <w:shd w:val="clear" w:color="auto" w:fill="FFFFFF"/>
        </w:rPr>
        <w:t xml:space="preserve"> disponibles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7"/>
        <w:gridCol w:w="2670"/>
        <w:gridCol w:w="982"/>
        <w:gridCol w:w="1247"/>
        <w:gridCol w:w="2576"/>
      </w:tblGrid>
      <w:tr w:rsidR="002D41A4" w:rsidRPr="00240C99" w14:paraId="116ABE7A" w14:textId="77777777" w:rsidTr="0018063D">
        <w:trPr>
          <w:tblHeader/>
        </w:trPr>
        <w:tc>
          <w:tcPr>
            <w:tcW w:w="0" w:type="auto"/>
            <w:shd w:val="clear" w:color="auto" w:fill="47626F"/>
            <w:hideMark/>
          </w:tcPr>
          <w:p w14:paraId="4C677CEA" w14:textId="233630F3" w:rsidR="00984EC4" w:rsidRPr="00984EC4" w:rsidRDefault="00984EC4" w:rsidP="00240C99">
            <w:pPr>
              <w:spacing w:before="40" w:after="40"/>
              <w:rPr>
                <w:rFonts w:ascii="Kohinoor Devanagari" w:hAnsi="Kohinoor Devanagari" w:cs="Kohinoor Devanagari"/>
                <w:b/>
                <w:bCs/>
                <w:color w:val="FFFFFF" w:themeColor="background1"/>
                <w:sz w:val="20"/>
                <w:szCs w:val="20"/>
              </w:rPr>
            </w:pPr>
            <w:r w:rsidRPr="00984EC4">
              <w:rPr>
                <w:rFonts w:ascii="Kohinoor Devanagari" w:hAnsi="Kohinoor Devanagari" w:cs="Kohinoor Devanagari"/>
                <w:b/>
                <w:bCs/>
                <w:color w:val="FFFFFF" w:themeColor="background1"/>
                <w:sz w:val="20"/>
                <w:szCs w:val="20"/>
              </w:rPr>
              <w:t>Type de données</w:t>
            </w:r>
            <w:r w:rsidRPr="00240C99">
              <w:rPr>
                <w:rFonts w:ascii="Kohinoor Devanagari" w:hAnsi="Kohinoor Devanagari" w:cs="Kohinoor Devanagari"/>
                <w:b/>
                <w:bCs/>
                <w:color w:val="FFFFFF" w:themeColor="background1"/>
                <w:sz w:val="20"/>
                <w:szCs w:val="20"/>
              </w:rPr>
              <w:t xml:space="preserve"> </w:t>
            </w:r>
          </w:p>
        </w:tc>
        <w:tc>
          <w:tcPr>
            <w:tcW w:w="0" w:type="auto"/>
            <w:shd w:val="clear" w:color="auto" w:fill="47626F"/>
            <w:hideMark/>
          </w:tcPr>
          <w:p w14:paraId="393001F0" w14:textId="77777777" w:rsidR="00984EC4" w:rsidRPr="00984EC4" w:rsidRDefault="00984EC4" w:rsidP="00240C99">
            <w:pPr>
              <w:spacing w:before="40" w:after="40"/>
              <w:rPr>
                <w:rFonts w:ascii="Kohinoor Devanagari" w:hAnsi="Kohinoor Devanagari" w:cs="Kohinoor Devanagari"/>
                <w:b/>
                <w:bCs/>
                <w:color w:val="FFFFFF" w:themeColor="background1"/>
                <w:sz w:val="20"/>
                <w:szCs w:val="20"/>
              </w:rPr>
            </w:pPr>
            <w:r w:rsidRPr="00984EC4">
              <w:rPr>
                <w:rFonts w:ascii="Kohinoor Devanagari" w:hAnsi="Kohinoor Devanagari" w:cs="Kohinoor Devanagari"/>
                <w:b/>
                <w:bCs/>
                <w:color w:val="FFFFFF" w:themeColor="background1"/>
                <w:sz w:val="20"/>
                <w:szCs w:val="20"/>
              </w:rPr>
              <w:t>Contenu publié</w:t>
            </w:r>
          </w:p>
        </w:tc>
        <w:tc>
          <w:tcPr>
            <w:tcW w:w="0" w:type="auto"/>
            <w:shd w:val="clear" w:color="auto" w:fill="47626F"/>
            <w:hideMark/>
          </w:tcPr>
          <w:p w14:paraId="01C7215E" w14:textId="77777777" w:rsidR="00984EC4" w:rsidRPr="00984EC4" w:rsidRDefault="00984EC4" w:rsidP="00240C99">
            <w:pPr>
              <w:spacing w:before="40" w:after="40"/>
              <w:rPr>
                <w:rFonts w:ascii="Kohinoor Devanagari" w:hAnsi="Kohinoor Devanagari" w:cs="Kohinoor Devanagari"/>
                <w:b/>
                <w:bCs/>
                <w:color w:val="FFFFFF" w:themeColor="background1"/>
                <w:sz w:val="20"/>
                <w:szCs w:val="20"/>
              </w:rPr>
            </w:pPr>
            <w:r w:rsidRPr="00984EC4">
              <w:rPr>
                <w:rFonts w:ascii="Kohinoor Devanagari" w:hAnsi="Kohinoor Devanagari" w:cs="Kohinoor Devanagari"/>
                <w:b/>
                <w:bCs/>
                <w:color w:val="FFFFFF" w:themeColor="background1"/>
                <w:sz w:val="20"/>
                <w:szCs w:val="20"/>
              </w:rPr>
              <w:t>Format</w:t>
            </w:r>
          </w:p>
        </w:tc>
        <w:tc>
          <w:tcPr>
            <w:tcW w:w="0" w:type="auto"/>
            <w:shd w:val="clear" w:color="auto" w:fill="47626F"/>
            <w:hideMark/>
          </w:tcPr>
          <w:p w14:paraId="4F57CA12" w14:textId="77777777" w:rsidR="00984EC4" w:rsidRPr="00984EC4" w:rsidRDefault="00984EC4" w:rsidP="00240C99">
            <w:pPr>
              <w:spacing w:before="40" w:after="40"/>
              <w:rPr>
                <w:rFonts w:ascii="Kohinoor Devanagari" w:hAnsi="Kohinoor Devanagari" w:cs="Kohinoor Devanagari"/>
                <w:b/>
                <w:bCs/>
                <w:color w:val="FFFFFF" w:themeColor="background1"/>
                <w:sz w:val="20"/>
                <w:szCs w:val="20"/>
              </w:rPr>
            </w:pPr>
            <w:r w:rsidRPr="00984EC4">
              <w:rPr>
                <w:rFonts w:ascii="Kohinoor Devanagari" w:hAnsi="Kohinoor Devanagari" w:cs="Kohinoor Devanagari"/>
                <w:b/>
                <w:bCs/>
                <w:color w:val="FFFFFF" w:themeColor="background1"/>
                <w:sz w:val="20"/>
                <w:szCs w:val="20"/>
              </w:rPr>
              <w:t>Fréquence</w:t>
            </w:r>
          </w:p>
        </w:tc>
        <w:tc>
          <w:tcPr>
            <w:tcW w:w="0" w:type="auto"/>
            <w:shd w:val="clear" w:color="auto" w:fill="47626F"/>
            <w:hideMark/>
          </w:tcPr>
          <w:p w14:paraId="75EFF3D9" w14:textId="77777777" w:rsidR="00984EC4" w:rsidRPr="00984EC4" w:rsidRDefault="00984EC4" w:rsidP="00240C99">
            <w:pPr>
              <w:spacing w:before="40" w:after="40"/>
              <w:rPr>
                <w:rFonts w:ascii="Kohinoor Devanagari" w:hAnsi="Kohinoor Devanagari" w:cs="Kohinoor Devanagari"/>
                <w:b/>
                <w:bCs/>
                <w:color w:val="FFFFFF" w:themeColor="background1"/>
                <w:sz w:val="20"/>
                <w:szCs w:val="20"/>
              </w:rPr>
            </w:pPr>
            <w:r w:rsidRPr="00984EC4">
              <w:rPr>
                <w:rFonts w:ascii="Kohinoor Devanagari" w:hAnsi="Kohinoor Devanagari" w:cs="Kohinoor Devanagari"/>
                <w:b/>
                <w:bCs/>
                <w:color w:val="FFFFFF" w:themeColor="background1"/>
                <w:sz w:val="20"/>
                <w:szCs w:val="20"/>
              </w:rPr>
              <w:t>Observations</w:t>
            </w:r>
          </w:p>
        </w:tc>
      </w:tr>
      <w:tr w:rsidR="002D41A4" w:rsidRPr="00240C99" w14:paraId="5CD5EEFB" w14:textId="77777777" w:rsidTr="00C66C3D">
        <w:tc>
          <w:tcPr>
            <w:tcW w:w="0" w:type="auto"/>
            <w:hideMark/>
          </w:tcPr>
          <w:p w14:paraId="4719FE80" w14:textId="77777777" w:rsidR="00984EC4" w:rsidRPr="00984EC4" w:rsidRDefault="00984EC4" w:rsidP="00240C99">
            <w:pPr>
              <w:spacing w:before="40" w:after="40"/>
              <w:jc w:val="both"/>
              <w:rPr>
                <w:rFonts w:ascii="Kohinoor Devanagari" w:hAnsi="Kohinoor Devanagari" w:cs="Kohinoor Devanagari"/>
                <w:b/>
                <w:bCs/>
                <w:sz w:val="20"/>
                <w:szCs w:val="20"/>
                <w:shd w:val="clear" w:color="auto" w:fill="FFFFFF"/>
              </w:rPr>
            </w:pPr>
            <w:r w:rsidRPr="00984EC4">
              <w:rPr>
                <w:rFonts w:ascii="Kohinoor Devanagari" w:hAnsi="Kohinoor Devanagari" w:cs="Kohinoor Devanagari"/>
                <w:b/>
                <w:bCs/>
                <w:sz w:val="20"/>
                <w:szCs w:val="20"/>
                <w:shd w:val="clear" w:color="auto" w:fill="FFFFFF"/>
              </w:rPr>
              <w:t>États financiers</w:t>
            </w:r>
          </w:p>
        </w:tc>
        <w:tc>
          <w:tcPr>
            <w:tcW w:w="0" w:type="auto"/>
            <w:hideMark/>
          </w:tcPr>
          <w:p w14:paraId="4B454679" w14:textId="77777777"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États financiers annuels jusqu’en 2022 (bilan, compte de résultat, tableau de flux)</w:t>
            </w:r>
          </w:p>
        </w:tc>
        <w:tc>
          <w:tcPr>
            <w:tcW w:w="0" w:type="auto"/>
            <w:hideMark/>
          </w:tcPr>
          <w:p w14:paraId="3BAD5EDB" w14:textId="3D7819B9"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PDF</w:t>
            </w:r>
            <w:r w:rsidR="002D41A4" w:rsidRPr="00240C99">
              <w:rPr>
                <w:rFonts w:ascii="Kohinoor Devanagari" w:hAnsi="Kohinoor Devanagari" w:cs="Kohinoor Devanagari"/>
                <w:sz w:val="20"/>
                <w:szCs w:val="20"/>
                <w:shd w:val="clear" w:color="auto" w:fill="FFFFFF"/>
              </w:rPr>
              <w:t>, Excel</w:t>
            </w:r>
          </w:p>
        </w:tc>
        <w:tc>
          <w:tcPr>
            <w:tcW w:w="0" w:type="auto"/>
            <w:hideMark/>
          </w:tcPr>
          <w:p w14:paraId="051CDBAB" w14:textId="77777777"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Annuel</w:t>
            </w:r>
          </w:p>
        </w:tc>
        <w:tc>
          <w:tcPr>
            <w:tcW w:w="0" w:type="auto"/>
            <w:hideMark/>
          </w:tcPr>
          <w:p w14:paraId="3F23D602" w14:textId="77777777"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Données agrégées, pas de ventilation par projet ni segment</w:t>
            </w:r>
          </w:p>
        </w:tc>
      </w:tr>
      <w:tr w:rsidR="002D41A4" w:rsidRPr="00240C99" w14:paraId="26057FE1" w14:textId="77777777" w:rsidTr="002D41A4">
        <w:tc>
          <w:tcPr>
            <w:tcW w:w="0" w:type="auto"/>
            <w:shd w:val="clear" w:color="auto" w:fill="E2EFD9" w:themeFill="accent6" w:themeFillTint="33"/>
            <w:hideMark/>
          </w:tcPr>
          <w:p w14:paraId="163DEE60" w14:textId="77777777" w:rsidR="002D41A4" w:rsidRPr="00984EC4" w:rsidRDefault="002D41A4" w:rsidP="00240C99">
            <w:pPr>
              <w:spacing w:before="40" w:after="40"/>
              <w:rPr>
                <w:rFonts w:ascii="Kohinoor Devanagari" w:hAnsi="Kohinoor Devanagari" w:cs="Kohinoor Devanagari"/>
                <w:b/>
                <w:bCs/>
                <w:sz w:val="20"/>
                <w:szCs w:val="20"/>
              </w:rPr>
            </w:pPr>
            <w:r w:rsidRPr="00984EC4">
              <w:rPr>
                <w:rFonts w:ascii="Kohinoor Devanagari" w:hAnsi="Kohinoor Devanagari" w:cs="Kohinoor Devanagari"/>
                <w:b/>
                <w:bCs/>
                <w:sz w:val="20"/>
                <w:szCs w:val="20"/>
              </w:rPr>
              <w:t>Paiements en nature</w:t>
            </w:r>
          </w:p>
        </w:tc>
        <w:tc>
          <w:tcPr>
            <w:tcW w:w="0" w:type="auto"/>
            <w:shd w:val="clear" w:color="auto" w:fill="E2EFD9" w:themeFill="accent6" w:themeFillTint="33"/>
            <w:hideMark/>
          </w:tcPr>
          <w:p w14:paraId="60EE8E86" w14:textId="77777777"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Détails sur les parts de production revenant à l’État et volumes vendus</w:t>
            </w:r>
          </w:p>
        </w:tc>
        <w:tc>
          <w:tcPr>
            <w:tcW w:w="0" w:type="auto"/>
            <w:shd w:val="clear" w:color="auto" w:fill="E2EFD9" w:themeFill="accent6" w:themeFillTint="33"/>
            <w:hideMark/>
          </w:tcPr>
          <w:p w14:paraId="3ADE869E" w14:textId="302D39F7"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PDF</w:t>
            </w:r>
            <w:r w:rsidRPr="00240C99">
              <w:rPr>
                <w:rFonts w:ascii="Kohinoor Devanagari" w:hAnsi="Kohinoor Devanagari" w:cs="Kohinoor Devanagari"/>
                <w:sz w:val="20"/>
                <w:szCs w:val="20"/>
              </w:rPr>
              <w:t>, Excel</w:t>
            </w:r>
          </w:p>
        </w:tc>
        <w:tc>
          <w:tcPr>
            <w:tcW w:w="0" w:type="auto"/>
            <w:shd w:val="clear" w:color="auto" w:fill="E2EFD9" w:themeFill="accent6" w:themeFillTint="33"/>
            <w:hideMark/>
          </w:tcPr>
          <w:p w14:paraId="05DF305F" w14:textId="77777777"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Trimestriel</w:t>
            </w:r>
          </w:p>
        </w:tc>
        <w:tc>
          <w:tcPr>
            <w:tcW w:w="0" w:type="auto"/>
            <w:shd w:val="clear" w:color="auto" w:fill="E2EFD9" w:themeFill="accent6" w:themeFillTint="33"/>
            <w:hideMark/>
          </w:tcPr>
          <w:p w14:paraId="5E4F5F3D" w14:textId="77777777"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Informations sur les parts cédées à la SNH, volumes, prix moyens</w:t>
            </w:r>
          </w:p>
        </w:tc>
      </w:tr>
      <w:tr w:rsidR="002D41A4" w:rsidRPr="00240C99" w14:paraId="29F575EF" w14:textId="77777777" w:rsidTr="00C66C3D">
        <w:tc>
          <w:tcPr>
            <w:tcW w:w="0" w:type="auto"/>
            <w:hideMark/>
          </w:tcPr>
          <w:p w14:paraId="3C07909D" w14:textId="77777777" w:rsidR="002D41A4" w:rsidRPr="00984EC4" w:rsidRDefault="002D41A4" w:rsidP="00240C99">
            <w:pPr>
              <w:spacing w:before="40" w:after="40"/>
              <w:jc w:val="both"/>
              <w:rPr>
                <w:rFonts w:ascii="Kohinoor Devanagari" w:hAnsi="Kohinoor Devanagari" w:cs="Kohinoor Devanagari"/>
                <w:b/>
                <w:bCs/>
                <w:sz w:val="20"/>
                <w:szCs w:val="20"/>
                <w:shd w:val="clear" w:color="auto" w:fill="FFFFFF"/>
              </w:rPr>
            </w:pPr>
            <w:r w:rsidRPr="00984EC4">
              <w:rPr>
                <w:rFonts w:ascii="Kohinoor Devanagari" w:hAnsi="Kohinoor Devanagari" w:cs="Kohinoor Devanagari"/>
                <w:b/>
                <w:bCs/>
                <w:sz w:val="20"/>
                <w:szCs w:val="20"/>
                <w:shd w:val="clear" w:color="auto" w:fill="FFFFFF"/>
              </w:rPr>
              <w:t>Revente des parts de l’État</w:t>
            </w:r>
          </w:p>
        </w:tc>
        <w:tc>
          <w:tcPr>
            <w:tcW w:w="0" w:type="auto"/>
            <w:hideMark/>
          </w:tcPr>
          <w:p w14:paraId="0943A184" w14:textId="77777777" w:rsidR="002D41A4" w:rsidRPr="00984EC4" w:rsidRDefault="002D41A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Volumes de brut vendus pour le compte de l’État, montants encaissés, prix moyen</w:t>
            </w:r>
          </w:p>
        </w:tc>
        <w:tc>
          <w:tcPr>
            <w:tcW w:w="0" w:type="auto"/>
            <w:hideMark/>
          </w:tcPr>
          <w:p w14:paraId="02980D90" w14:textId="1CB989D9" w:rsidR="002D41A4" w:rsidRPr="00984EC4" w:rsidRDefault="002D41A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PDF</w:t>
            </w:r>
            <w:r w:rsidRPr="00240C99">
              <w:rPr>
                <w:rFonts w:ascii="Kohinoor Devanagari" w:hAnsi="Kohinoor Devanagari" w:cs="Kohinoor Devanagari"/>
                <w:sz w:val="20"/>
                <w:szCs w:val="20"/>
                <w:shd w:val="clear" w:color="auto" w:fill="FFFFFF"/>
              </w:rPr>
              <w:t>, Excel</w:t>
            </w:r>
          </w:p>
        </w:tc>
        <w:tc>
          <w:tcPr>
            <w:tcW w:w="0" w:type="auto"/>
            <w:hideMark/>
          </w:tcPr>
          <w:p w14:paraId="1E4D012A" w14:textId="77777777" w:rsidR="002D41A4" w:rsidRPr="00984EC4" w:rsidRDefault="002D41A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Trimestriel</w:t>
            </w:r>
          </w:p>
        </w:tc>
        <w:tc>
          <w:tcPr>
            <w:tcW w:w="0" w:type="auto"/>
            <w:hideMark/>
          </w:tcPr>
          <w:p w14:paraId="0B32766A" w14:textId="77777777" w:rsidR="002D41A4" w:rsidRPr="00984EC4" w:rsidRDefault="002D41A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Données par trimestre depuis plusieurs années</w:t>
            </w:r>
          </w:p>
        </w:tc>
      </w:tr>
      <w:tr w:rsidR="002D41A4" w:rsidRPr="00240C99" w14:paraId="450F9FDF" w14:textId="77777777" w:rsidTr="002D41A4">
        <w:tc>
          <w:tcPr>
            <w:tcW w:w="0" w:type="auto"/>
            <w:shd w:val="clear" w:color="auto" w:fill="E2EFD9" w:themeFill="accent6" w:themeFillTint="33"/>
            <w:hideMark/>
          </w:tcPr>
          <w:p w14:paraId="48BA18DB" w14:textId="77777777" w:rsidR="002D41A4" w:rsidRPr="00984EC4" w:rsidRDefault="002D41A4" w:rsidP="00240C99">
            <w:pPr>
              <w:spacing w:before="40" w:after="40"/>
              <w:rPr>
                <w:rFonts w:ascii="Kohinoor Devanagari" w:hAnsi="Kohinoor Devanagari" w:cs="Kohinoor Devanagari"/>
                <w:b/>
                <w:bCs/>
                <w:sz w:val="20"/>
                <w:szCs w:val="20"/>
              </w:rPr>
            </w:pPr>
            <w:r w:rsidRPr="00984EC4">
              <w:rPr>
                <w:rFonts w:ascii="Kohinoor Devanagari" w:hAnsi="Kohinoor Devanagari" w:cs="Kohinoor Devanagari"/>
                <w:b/>
                <w:bCs/>
                <w:sz w:val="20"/>
                <w:szCs w:val="20"/>
              </w:rPr>
              <w:t>Coûts pétroliers</w:t>
            </w:r>
          </w:p>
        </w:tc>
        <w:tc>
          <w:tcPr>
            <w:tcW w:w="0" w:type="auto"/>
            <w:shd w:val="clear" w:color="auto" w:fill="E2EFD9" w:themeFill="accent6" w:themeFillTint="33"/>
            <w:hideMark/>
          </w:tcPr>
          <w:p w14:paraId="26586AE4" w14:textId="43BE6552"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 xml:space="preserve">Dépenses </w:t>
            </w:r>
            <w:r w:rsidRPr="00240C99">
              <w:rPr>
                <w:rFonts w:ascii="Kohinoor Devanagari" w:hAnsi="Kohinoor Devanagari" w:cs="Kohinoor Devanagari"/>
                <w:sz w:val="20"/>
                <w:szCs w:val="20"/>
              </w:rPr>
              <w:t>agrégés</w:t>
            </w:r>
          </w:p>
        </w:tc>
        <w:tc>
          <w:tcPr>
            <w:tcW w:w="0" w:type="auto"/>
            <w:shd w:val="clear" w:color="auto" w:fill="E2EFD9" w:themeFill="accent6" w:themeFillTint="33"/>
            <w:hideMark/>
          </w:tcPr>
          <w:p w14:paraId="290984CC" w14:textId="7267D1AF"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PDF</w:t>
            </w:r>
            <w:r w:rsidRPr="00240C99">
              <w:rPr>
                <w:rFonts w:ascii="Kohinoor Devanagari" w:hAnsi="Kohinoor Devanagari" w:cs="Kohinoor Devanagari"/>
                <w:sz w:val="20"/>
                <w:szCs w:val="20"/>
              </w:rPr>
              <w:t>, Excel</w:t>
            </w:r>
          </w:p>
        </w:tc>
        <w:tc>
          <w:tcPr>
            <w:tcW w:w="0" w:type="auto"/>
            <w:shd w:val="clear" w:color="auto" w:fill="E2EFD9" w:themeFill="accent6" w:themeFillTint="33"/>
            <w:hideMark/>
          </w:tcPr>
          <w:p w14:paraId="6D384306" w14:textId="77777777"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Trimestriel</w:t>
            </w:r>
          </w:p>
        </w:tc>
        <w:tc>
          <w:tcPr>
            <w:tcW w:w="0" w:type="auto"/>
            <w:shd w:val="clear" w:color="auto" w:fill="E2EFD9" w:themeFill="accent6" w:themeFillTint="33"/>
            <w:hideMark/>
          </w:tcPr>
          <w:p w14:paraId="227030DF" w14:textId="77777777" w:rsidR="002D41A4" w:rsidRPr="00984EC4" w:rsidRDefault="002D41A4" w:rsidP="00240C99">
            <w:pPr>
              <w:spacing w:before="40" w:after="40"/>
              <w:rPr>
                <w:rFonts w:ascii="Kohinoor Devanagari" w:hAnsi="Kohinoor Devanagari" w:cs="Kohinoor Devanagari"/>
                <w:sz w:val="20"/>
                <w:szCs w:val="20"/>
              </w:rPr>
            </w:pPr>
            <w:r w:rsidRPr="00984EC4">
              <w:rPr>
                <w:rFonts w:ascii="Kohinoor Devanagari" w:hAnsi="Kohinoor Devanagari" w:cs="Kohinoor Devanagari"/>
                <w:sz w:val="20"/>
                <w:szCs w:val="20"/>
              </w:rPr>
              <w:t>Données agrégées, pas de ventilation par opérateur</w:t>
            </w:r>
          </w:p>
        </w:tc>
      </w:tr>
      <w:tr w:rsidR="002D41A4" w:rsidRPr="00240C99" w14:paraId="3BDCA64A" w14:textId="77777777" w:rsidTr="00C66C3D">
        <w:tc>
          <w:tcPr>
            <w:tcW w:w="0" w:type="auto"/>
            <w:hideMark/>
          </w:tcPr>
          <w:p w14:paraId="03750515" w14:textId="77777777" w:rsidR="00984EC4" w:rsidRPr="00984EC4" w:rsidRDefault="00984EC4" w:rsidP="00240C99">
            <w:pPr>
              <w:spacing w:before="40" w:after="40"/>
              <w:jc w:val="both"/>
              <w:rPr>
                <w:rFonts w:ascii="Kohinoor Devanagari" w:hAnsi="Kohinoor Devanagari" w:cs="Kohinoor Devanagari"/>
                <w:b/>
                <w:bCs/>
                <w:sz w:val="20"/>
                <w:szCs w:val="20"/>
                <w:shd w:val="clear" w:color="auto" w:fill="FFFFFF"/>
              </w:rPr>
            </w:pPr>
            <w:r w:rsidRPr="00984EC4">
              <w:rPr>
                <w:rFonts w:ascii="Kohinoor Devanagari" w:hAnsi="Kohinoor Devanagari" w:cs="Kohinoor Devanagari"/>
                <w:b/>
                <w:bCs/>
                <w:sz w:val="20"/>
                <w:szCs w:val="20"/>
                <w:shd w:val="clear" w:color="auto" w:fill="FFFFFF"/>
              </w:rPr>
              <w:t>Transferts au Trésor</w:t>
            </w:r>
          </w:p>
        </w:tc>
        <w:tc>
          <w:tcPr>
            <w:tcW w:w="0" w:type="auto"/>
            <w:hideMark/>
          </w:tcPr>
          <w:p w14:paraId="3B50ACA7" w14:textId="77777777"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Montants transférés, origine des revenus, évolution par trimestre</w:t>
            </w:r>
          </w:p>
        </w:tc>
        <w:tc>
          <w:tcPr>
            <w:tcW w:w="0" w:type="auto"/>
            <w:hideMark/>
          </w:tcPr>
          <w:p w14:paraId="20FC5B16" w14:textId="18F3EC1C" w:rsidR="00984EC4" w:rsidRPr="00984EC4" w:rsidRDefault="002D41A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PDF</w:t>
            </w:r>
            <w:r w:rsidRPr="00240C99">
              <w:rPr>
                <w:rFonts w:ascii="Kohinoor Devanagari" w:hAnsi="Kohinoor Devanagari" w:cs="Kohinoor Devanagari"/>
                <w:sz w:val="20"/>
                <w:szCs w:val="20"/>
                <w:shd w:val="clear" w:color="auto" w:fill="FFFFFF"/>
              </w:rPr>
              <w:t>, Excel</w:t>
            </w:r>
          </w:p>
        </w:tc>
        <w:tc>
          <w:tcPr>
            <w:tcW w:w="0" w:type="auto"/>
            <w:hideMark/>
          </w:tcPr>
          <w:p w14:paraId="0C3F1B5C" w14:textId="77777777"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Trimestriel</w:t>
            </w:r>
          </w:p>
        </w:tc>
        <w:tc>
          <w:tcPr>
            <w:tcW w:w="0" w:type="auto"/>
            <w:hideMark/>
          </w:tcPr>
          <w:p w14:paraId="6C094D05" w14:textId="77777777" w:rsidR="00984EC4" w:rsidRPr="00984EC4" w:rsidRDefault="00984EC4" w:rsidP="00240C99">
            <w:pPr>
              <w:spacing w:before="40" w:after="40"/>
              <w:jc w:val="both"/>
              <w:rPr>
                <w:rFonts w:ascii="Kohinoor Devanagari" w:hAnsi="Kohinoor Devanagari" w:cs="Kohinoor Devanagari"/>
                <w:sz w:val="20"/>
                <w:szCs w:val="20"/>
                <w:shd w:val="clear" w:color="auto" w:fill="FFFFFF"/>
              </w:rPr>
            </w:pPr>
            <w:r w:rsidRPr="00984EC4">
              <w:rPr>
                <w:rFonts w:ascii="Kohinoor Devanagari" w:hAnsi="Kohinoor Devanagari" w:cs="Kohinoor Devanagari"/>
                <w:sz w:val="20"/>
                <w:szCs w:val="20"/>
                <w:shd w:val="clear" w:color="auto" w:fill="FFFFFF"/>
              </w:rPr>
              <w:t>Série cohérente, utile pour le suivi des revenus extractifs</w:t>
            </w:r>
          </w:p>
        </w:tc>
      </w:tr>
    </w:tbl>
    <w:p w14:paraId="414B5DD8" w14:textId="38F87A73" w:rsidR="009013A4" w:rsidRPr="009013A4" w:rsidRDefault="009013A4" w:rsidP="00240C99">
      <w:pPr>
        <w:spacing w:before="120" w:after="120" w:line="240" w:lineRule="auto"/>
        <w:jc w:val="both"/>
        <w:rPr>
          <w:rFonts w:ascii="Kohinoor Devanagari" w:hAnsi="Kohinoor Devanagari" w:cs="Kohinoor Devanagari"/>
          <w:b/>
          <w:bCs/>
          <w:sz w:val="20"/>
          <w:szCs w:val="20"/>
          <w:shd w:val="clear" w:color="auto" w:fill="FFFFFF"/>
        </w:rPr>
      </w:pPr>
      <w:r w:rsidRPr="009013A4">
        <w:rPr>
          <w:rFonts w:ascii="Kohinoor Devanagari" w:hAnsi="Kohinoor Devanagari" w:cs="Kohinoor Devanagari"/>
          <w:b/>
          <w:bCs/>
          <w:sz w:val="20"/>
          <w:szCs w:val="20"/>
          <w:shd w:val="clear" w:color="auto" w:fill="FFFFFF"/>
        </w:rPr>
        <w:lastRenderedPageBreak/>
        <w:t>Limites identifiées</w:t>
      </w:r>
    </w:p>
    <w:p w14:paraId="7DBBED92" w14:textId="77777777" w:rsidR="009013A4" w:rsidRPr="009013A4" w:rsidRDefault="009013A4" w:rsidP="00240C99">
      <w:pPr>
        <w:numPr>
          <w:ilvl w:val="0"/>
          <w:numId w:val="125"/>
        </w:numPr>
        <w:spacing w:before="120" w:after="120" w:line="240" w:lineRule="auto"/>
        <w:jc w:val="both"/>
        <w:rPr>
          <w:rFonts w:ascii="Kohinoor Devanagari" w:hAnsi="Kohinoor Devanagari" w:cs="Kohinoor Devanagari"/>
          <w:sz w:val="20"/>
          <w:szCs w:val="20"/>
          <w:shd w:val="clear" w:color="auto" w:fill="FFFFFF"/>
        </w:rPr>
      </w:pPr>
      <w:r w:rsidRPr="009013A4">
        <w:rPr>
          <w:rFonts w:ascii="Kohinoor Devanagari" w:hAnsi="Kohinoor Devanagari" w:cs="Kohinoor Devanagari"/>
          <w:b/>
          <w:bCs/>
          <w:sz w:val="20"/>
          <w:szCs w:val="20"/>
          <w:shd w:val="clear" w:color="auto" w:fill="FFFFFF"/>
        </w:rPr>
        <w:t>Pas d’interface interactive</w:t>
      </w:r>
      <w:r w:rsidRPr="009013A4">
        <w:rPr>
          <w:rFonts w:ascii="Kohinoor Devanagari" w:hAnsi="Kohinoor Devanagari" w:cs="Kohinoor Devanagari"/>
          <w:sz w:val="20"/>
          <w:szCs w:val="20"/>
          <w:shd w:val="clear" w:color="auto" w:fill="FFFFFF"/>
        </w:rPr>
        <w:t xml:space="preserve"> ou de base de données en ligne permettant une exploration ou extraction ciblée ;</w:t>
      </w:r>
    </w:p>
    <w:p w14:paraId="2D9602C9" w14:textId="4F8A2013" w:rsidR="009013A4" w:rsidRPr="00240C99" w:rsidRDefault="009013A4" w:rsidP="00240C99">
      <w:pPr>
        <w:numPr>
          <w:ilvl w:val="0"/>
          <w:numId w:val="125"/>
        </w:numPr>
        <w:spacing w:before="120" w:after="120" w:line="240" w:lineRule="auto"/>
        <w:jc w:val="both"/>
        <w:rPr>
          <w:rFonts w:ascii="Kohinoor Devanagari" w:hAnsi="Kohinoor Devanagari" w:cs="Kohinoor Devanagari"/>
          <w:sz w:val="20"/>
          <w:szCs w:val="20"/>
          <w:shd w:val="clear" w:color="auto" w:fill="FFFFFF"/>
        </w:rPr>
      </w:pPr>
      <w:r w:rsidRPr="009013A4">
        <w:rPr>
          <w:rFonts w:ascii="Kohinoor Devanagari" w:hAnsi="Kohinoor Devanagari" w:cs="Kohinoor Devanagari"/>
          <w:b/>
          <w:bCs/>
          <w:sz w:val="20"/>
          <w:szCs w:val="20"/>
          <w:shd w:val="clear" w:color="auto" w:fill="FFFFFF"/>
        </w:rPr>
        <w:t>Absence de ventilation désagrégée</w:t>
      </w:r>
      <w:r w:rsidRPr="009013A4">
        <w:rPr>
          <w:rFonts w:ascii="Kohinoor Devanagari" w:hAnsi="Kohinoor Devanagari" w:cs="Kohinoor Devanagari"/>
          <w:sz w:val="20"/>
          <w:szCs w:val="20"/>
          <w:shd w:val="clear" w:color="auto" w:fill="FFFFFF"/>
        </w:rPr>
        <w:t xml:space="preserve"> par projet, opérateur ou champ pétrolier </w:t>
      </w:r>
      <w:r w:rsidRPr="00240C99">
        <w:rPr>
          <w:rFonts w:ascii="Kohinoor Devanagari" w:hAnsi="Kohinoor Devanagari" w:cs="Kohinoor Devanagari"/>
          <w:sz w:val="20"/>
          <w:szCs w:val="20"/>
          <w:shd w:val="clear" w:color="auto" w:fill="FFFFFF"/>
        </w:rPr>
        <w:t>pour certaines données</w:t>
      </w:r>
      <w:r w:rsidRPr="009013A4">
        <w:rPr>
          <w:rFonts w:ascii="Kohinoor Devanagari" w:hAnsi="Kohinoor Devanagari" w:cs="Kohinoor Devanagari"/>
          <w:sz w:val="20"/>
          <w:szCs w:val="20"/>
          <w:shd w:val="clear" w:color="auto" w:fill="FFFFFF"/>
        </w:rPr>
        <w:t>;</w:t>
      </w:r>
    </w:p>
    <w:p w14:paraId="2C4569DD" w14:textId="33F61791" w:rsidR="009013A4" w:rsidRPr="009013A4" w:rsidRDefault="009013A4" w:rsidP="00240C99">
      <w:pPr>
        <w:numPr>
          <w:ilvl w:val="0"/>
          <w:numId w:val="125"/>
        </w:numPr>
        <w:spacing w:before="120" w:after="120" w:line="240" w:lineRule="auto"/>
        <w:jc w:val="both"/>
        <w:rPr>
          <w:rFonts w:ascii="Kohinoor Devanagari" w:hAnsi="Kohinoor Devanagari" w:cs="Kohinoor Devanagari"/>
          <w:sz w:val="20"/>
          <w:szCs w:val="20"/>
          <w:shd w:val="clear" w:color="auto" w:fill="FFFFFF"/>
        </w:rPr>
      </w:pPr>
      <w:r w:rsidRPr="00240C99">
        <w:rPr>
          <w:rFonts w:ascii="Kohinoor Devanagari" w:hAnsi="Kohinoor Devanagari" w:cs="Kohinoor Devanagari"/>
          <w:b/>
          <w:bCs/>
          <w:sz w:val="20"/>
          <w:szCs w:val="20"/>
          <w:shd w:val="clear" w:color="auto" w:fill="FFFFFF"/>
        </w:rPr>
        <w:t>Divulgation non systématique des états financiers</w:t>
      </w:r>
    </w:p>
    <w:p w14:paraId="66BD4DC2" w14:textId="045A232B" w:rsidR="009013A4" w:rsidRPr="00240C99" w:rsidRDefault="0018063D" w:rsidP="00240C99">
      <w:pPr>
        <w:pStyle w:val="Paragraphedeliste"/>
        <w:numPr>
          <w:ilvl w:val="3"/>
          <w:numId w:val="8"/>
        </w:num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240C99">
        <w:rPr>
          <w:rFonts w:ascii="Kohinoor Devanagari" w:eastAsia="Times New Roman" w:hAnsi="Kohinoor Devanagari" w:cs="Kohinoor Devanagari"/>
          <w:b/>
          <w:bCs/>
          <w:color w:val="000000" w:themeColor="text1"/>
          <w:kern w:val="0"/>
          <w:sz w:val="20"/>
          <w:szCs w:val="20"/>
          <w:lang w:eastAsia="fr-FR"/>
        </w:rPr>
        <w:t>Plateforme Open Data de l’INS (Institut National de la Statistique)</w:t>
      </w:r>
    </w:p>
    <w:p w14:paraId="10843B7E" w14:textId="05C605E9" w:rsidR="00B548E0" w:rsidRPr="00B548E0" w:rsidRDefault="00C774F0" w:rsidP="00240C99">
      <w:pPr>
        <w:spacing w:before="120" w:after="120" w:line="240" w:lineRule="auto"/>
        <w:jc w:val="both"/>
        <w:rPr>
          <w:rFonts w:ascii="Kohinoor Devanagari" w:hAnsi="Kohinoor Devanagari" w:cs="Kohinoor Devanagari"/>
          <w:sz w:val="20"/>
          <w:szCs w:val="20"/>
          <w:shd w:val="clear" w:color="auto" w:fill="FFFFFF"/>
        </w:rPr>
      </w:pPr>
      <w:r w:rsidRPr="00240C99">
        <w:rPr>
          <w:rFonts w:ascii="Kohinoor Devanagari" w:eastAsia="Times New Roman" w:hAnsi="Kohinoor Devanagari" w:cs="Kohinoor Devanagari"/>
          <w:noProof/>
          <w:kern w:val="0"/>
          <w:sz w:val="20"/>
          <w:szCs w:val="20"/>
          <w:lang w:eastAsia="fr-FR"/>
          <w14:ligatures w14:val="none"/>
        </w:rPr>
        <w:drawing>
          <wp:anchor distT="0" distB="0" distL="114300" distR="114300" simplePos="0" relativeHeight="251671040" behindDoc="0" locked="0" layoutInCell="1" allowOverlap="1" wp14:anchorId="1FE4B0B0" wp14:editId="66897D2F">
            <wp:simplePos x="0" y="0"/>
            <wp:positionH relativeFrom="margin">
              <wp:posOffset>1287098</wp:posOffset>
            </wp:positionH>
            <wp:positionV relativeFrom="paragraph">
              <wp:posOffset>532272</wp:posOffset>
            </wp:positionV>
            <wp:extent cx="4608830" cy="2046605"/>
            <wp:effectExtent l="0" t="0" r="1270" b="0"/>
            <wp:wrapSquare wrapText="bothSides"/>
            <wp:docPr id="446202915"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02915" name="Image 1" descr="Une image contenant texte, capture d’écran, logiciel, Page web&#10;&#10;Le contenu généré par l’IA peut être incorrec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608830" cy="2046605"/>
                    </a:xfrm>
                    <a:prstGeom prst="rect">
                      <a:avLst/>
                    </a:prstGeom>
                    <a:noFill/>
                    <a:ln>
                      <a:noFill/>
                    </a:ln>
                  </pic:spPr>
                </pic:pic>
              </a:graphicData>
            </a:graphic>
          </wp:anchor>
        </w:drawing>
      </w:r>
      <w:r w:rsidR="00B548E0" w:rsidRPr="00B548E0">
        <w:rPr>
          <w:rFonts w:ascii="Kohinoor Devanagari" w:hAnsi="Kohinoor Devanagari" w:cs="Kohinoor Devanagari"/>
          <w:sz w:val="20"/>
          <w:szCs w:val="20"/>
          <w:shd w:val="clear" w:color="auto" w:fill="FFFFFF"/>
        </w:rPr>
        <w:t xml:space="preserve">L’INS publie sur sa plateforme </w:t>
      </w:r>
      <w:hyperlink r:id="rId38" w:tgtFrame="_new" w:history="1">
        <w:r w:rsidR="00B548E0" w:rsidRPr="00B548E0">
          <w:rPr>
            <w:rStyle w:val="Lienhypertexte"/>
            <w:rFonts w:ascii="Kohinoor Devanagari" w:hAnsi="Kohinoor Devanagari" w:cs="Kohinoor Devanagari"/>
            <w:sz w:val="20"/>
            <w:szCs w:val="20"/>
            <w:shd w:val="clear" w:color="auto" w:fill="FFFFFF"/>
          </w:rPr>
          <w:t>Open Data</w:t>
        </w:r>
      </w:hyperlink>
      <w:r w:rsidR="00B548E0" w:rsidRPr="00B548E0">
        <w:rPr>
          <w:rFonts w:ascii="Kohinoor Devanagari" w:hAnsi="Kohinoor Devanagari" w:cs="Kohinoor Devanagari"/>
          <w:sz w:val="20"/>
          <w:szCs w:val="20"/>
          <w:shd w:val="clear" w:color="auto" w:fill="FFFFFF"/>
        </w:rPr>
        <w:t xml:space="preserve"> un onglet dédié aux données ITIE. Ce portail présente des statistiques sur la contribution du secteur extractif au PIB, à l’emploi, aux exportations et aux investissements. Les données proviennent de sources croisées (DGI, CNPS, DSF) et sont actualisées annuellement.</w:t>
      </w:r>
    </w:p>
    <w:p w14:paraId="3BEB0227" w14:textId="13D49382" w:rsidR="00B548E0" w:rsidRPr="00B548E0" w:rsidRDefault="00B548E0" w:rsidP="00240C99">
      <w:pPr>
        <w:spacing w:before="120" w:after="120" w:line="240" w:lineRule="auto"/>
        <w:jc w:val="both"/>
        <w:rPr>
          <w:rFonts w:ascii="Kohinoor Devanagari" w:hAnsi="Kohinoor Devanagari" w:cs="Kohinoor Devanagari"/>
          <w:sz w:val="20"/>
          <w:szCs w:val="20"/>
          <w:shd w:val="clear" w:color="auto" w:fill="FFFFFF"/>
        </w:rPr>
      </w:pPr>
      <w:r w:rsidRPr="00B548E0">
        <w:rPr>
          <w:rFonts w:ascii="Kohinoor Devanagari" w:hAnsi="Kohinoor Devanagari" w:cs="Kohinoor Devanagari"/>
          <w:b/>
          <w:bCs/>
          <w:sz w:val="20"/>
          <w:szCs w:val="20"/>
          <w:shd w:val="clear" w:color="auto" w:fill="FFFFFF"/>
        </w:rPr>
        <w:t>Format</w:t>
      </w:r>
      <w:r w:rsidRPr="00B548E0">
        <w:rPr>
          <w:rFonts w:ascii="Kohinoor Devanagari" w:hAnsi="Kohinoor Devanagari" w:cs="Kohinoor Devanagari"/>
          <w:sz w:val="20"/>
          <w:szCs w:val="20"/>
          <w:shd w:val="clear" w:color="auto" w:fill="FFFFFF"/>
        </w:rPr>
        <w:t xml:space="preserve"> : PDF, Excel, visualisations dynamiques.</w:t>
      </w:r>
    </w:p>
    <w:p w14:paraId="41BE608B" w14:textId="4D1A51EE" w:rsidR="00B548E0" w:rsidRPr="00B548E0" w:rsidRDefault="00B548E0" w:rsidP="00240C99">
      <w:pPr>
        <w:spacing w:before="120" w:after="120" w:line="240" w:lineRule="auto"/>
        <w:jc w:val="both"/>
        <w:rPr>
          <w:rFonts w:ascii="Kohinoor Devanagari" w:hAnsi="Kohinoor Devanagari" w:cs="Kohinoor Devanagari"/>
          <w:sz w:val="20"/>
          <w:szCs w:val="20"/>
          <w:shd w:val="clear" w:color="auto" w:fill="FFFFFF"/>
        </w:rPr>
      </w:pPr>
      <w:r w:rsidRPr="00B548E0">
        <w:rPr>
          <w:rFonts w:ascii="Kohinoor Devanagari" w:hAnsi="Kohinoor Devanagari" w:cs="Kohinoor Devanagari"/>
          <w:b/>
          <w:bCs/>
          <w:sz w:val="20"/>
          <w:szCs w:val="20"/>
          <w:shd w:val="clear" w:color="auto" w:fill="FFFFFF"/>
        </w:rPr>
        <w:t>Limites</w:t>
      </w:r>
      <w:r w:rsidRPr="00B548E0">
        <w:rPr>
          <w:rFonts w:ascii="Kohinoor Devanagari" w:hAnsi="Kohinoor Devanagari" w:cs="Kohinoor Devanagari"/>
          <w:sz w:val="20"/>
          <w:szCs w:val="20"/>
          <w:shd w:val="clear" w:color="auto" w:fill="FFFFFF"/>
        </w:rPr>
        <w:t xml:space="preserve"> : Absence de désagrégation par entreprise (contraintes légales), pas de données fiscales ni environnementales, interopérabilité limitée avec d’autres bases ITIE.</w:t>
      </w:r>
    </w:p>
    <w:p w14:paraId="2534EADE" w14:textId="3E71E2A4" w:rsidR="00D87870" w:rsidRPr="00240C99" w:rsidRDefault="00D87870" w:rsidP="00240C99">
      <w:pPr>
        <w:pStyle w:val="Paragraphedeliste"/>
        <w:numPr>
          <w:ilvl w:val="3"/>
          <w:numId w:val="8"/>
        </w:numPr>
        <w:spacing w:before="120" w:after="120" w:line="240" w:lineRule="auto"/>
        <w:rPr>
          <w:rFonts w:ascii="Kohinoor Devanagari" w:eastAsia="Times New Roman" w:hAnsi="Kohinoor Devanagari" w:cs="Kohinoor Devanagari"/>
          <w:b/>
          <w:bCs/>
          <w:color w:val="000000" w:themeColor="text1"/>
          <w:kern w:val="0"/>
          <w:sz w:val="20"/>
          <w:szCs w:val="20"/>
          <w:lang w:eastAsia="fr-FR"/>
        </w:rPr>
      </w:pPr>
      <w:r w:rsidRPr="00240C99">
        <w:rPr>
          <w:rFonts w:ascii="Kohinoor Devanagari" w:eastAsia="Times New Roman" w:hAnsi="Kohinoor Devanagari" w:cs="Kohinoor Devanagari"/>
          <w:b/>
          <w:bCs/>
          <w:color w:val="000000" w:themeColor="text1"/>
          <w:kern w:val="0"/>
          <w:sz w:val="20"/>
          <w:szCs w:val="20"/>
          <w:lang w:eastAsia="fr-FR"/>
        </w:rPr>
        <w:t xml:space="preserve">Portail </w:t>
      </w:r>
      <w:r w:rsidRPr="00240C99">
        <w:rPr>
          <w:rFonts w:ascii="Kohinoor Devanagari" w:eastAsia="Times New Roman" w:hAnsi="Kohinoor Devanagari" w:cs="Kohinoor Devanagari"/>
          <w:b/>
          <w:bCs/>
          <w:i/>
          <w:iCs/>
          <w:color w:val="000000" w:themeColor="text1"/>
          <w:kern w:val="0"/>
          <w:sz w:val="20"/>
          <w:szCs w:val="20"/>
          <w:lang w:eastAsia="fr-FR"/>
        </w:rPr>
        <w:t xml:space="preserve">Resource </w:t>
      </w:r>
      <w:proofErr w:type="spellStart"/>
      <w:r w:rsidRPr="00240C99">
        <w:rPr>
          <w:rFonts w:ascii="Kohinoor Devanagari" w:eastAsia="Times New Roman" w:hAnsi="Kohinoor Devanagari" w:cs="Kohinoor Devanagari"/>
          <w:b/>
          <w:bCs/>
          <w:i/>
          <w:iCs/>
          <w:color w:val="000000" w:themeColor="text1"/>
          <w:kern w:val="0"/>
          <w:sz w:val="20"/>
          <w:szCs w:val="20"/>
          <w:lang w:eastAsia="fr-FR"/>
        </w:rPr>
        <w:t>Contracts</w:t>
      </w:r>
      <w:proofErr w:type="spellEnd"/>
      <w:r w:rsidRPr="00240C99">
        <w:rPr>
          <w:rFonts w:ascii="Kohinoor Devanagari" w:eastAsia="Times New Roman" w:hAnsi="Kohinoor Devanagari" w:cs="Kohinoor Devanagari"/>
          <w:b/>
          <w:bCs/>
          <w:color w:val="000000" w:themeColor="text1"/>
          <w:kern w:val="0"/>
          <w:sz w:val="20"/>
          <w:szCs w:val="20"/>
          <w:lang w:eastAsia="fr-FR"/>
        </w:rPr>
        <w:t xml:space="preserve"> (</w:t>
      </w:r>
      <w:hyperlink r:id="rId39" w:tgtFrame="_new" w:history="1">
        <w:r w:rsidRPr="00240C99">
          <w:rPr>
            <w:rStyle w:val="Lienhypertexte"/>
            <w:rFonts w:ascii="Kohinoor Devanagari" w:eastAsia="Times New Roman" w:hAnsi="Kohinoor Devanagari" w:cs="Kohinoor Devanagari"/>
            <w:b/>
            <w:bCs/>
            <w:kern w:val="0"/>
            <w:sz w:val="20"/>
            <w:szCs w:val="20"/>
            <w:lang w:eastAsia="fr-FR"/>
          </w:rPr>
          <w:t>www.resourcecontracts.org</w:t>
        </w:r>
      </w:hyperlink>
      <w:r w:rsidRPr="00240C99">
        <w:rPr>
          <w:rFonts w:ascii="Kohinoor Devanagari" w:eastAsia="Times New Roman" w:hAnsi="Kohinoor Devanagari" w:cs="Kohinoor Devanagari"/>
          <w:b/>
          <w:bCs/>
          <w:color w:val="000000" w:themeColor="text1"/>
          <w:kern w:val="0"/>
          <w:sz w:val="20"/>
          <w:szCs w:val="20"/>
          <w:lang w:eastAsia="fr-FR"/>
        </w:rPr>
        <w:t>)</w:t>
      </w:r>
    </w:p>
    <w:p w14:paraId="7E45D2FE" w14:textId="2164EA8B" w:rsidR="005E2A0A" w:rsidRPr="005E2A0A" w:rsidRDefault="00C774F0" w:rsidP="00240C99">
      <w:pPr>
        <w:spacing w:before="120" w:after="120" w:line="240" w:lineRule="auto"/>
        <w:jc w:val="both"/>
        <w:rPr>
          <w:rFonts w:ascii="Kohinoor Devanagari" w:hAnsi="Kohinoor Devanagari" w:cs="Kohinoor Devanagari"/>
          <w:sz w:val="20"/>
          <w:szCs w:val="20"/>
        </w:rPr>
      </w:pPr>
      <w:r w:rsidRPr="00240C99">
        <w:rPr>
          <w:rFonts w:ascii="Kohinoor Devanagari" w:eastAsia="Times New Roman" w:hAnsi="Kohinoor Devanagari" w:cs="Kohinoor Devanagari"/>
          <w:noProof/>
          <w:kern w:val="0"/>
          <w:sz w:val="20"/>
          <w:szCs w:val="20"/>
          <w:lang w:eastAsia="fr-FR"/>
          <w14:ligatures w14:val="none"/>
        </w:rPr>
        <w:drawing>
          <wp:anchor distT="0" distB="0" distL="114300" distR="114300" simplePos="0" relativeHeight="251688448" behindDoc="1" locked="0" layoutInCell="1" allowOverlap="1" wp14:anchorId="3447D900" wp14:editId="37868840">
            <wp:simplePos x="0" y="0"/>
            <wp:positionH relativeFrom="margin">
              <wp:align>right</wp:align>
            </wp:positionH>
            <wp:positionV relativeFrom="page">
              <wp:posOffset>6511347</wp:posOffset>
            </wp:positionV>
            <wp:extent cx="4079240" cy="1682750"/>
            <wp:effectExtent l="0" t="0" r="0" b="0"/>
            <wp:wrapThrough wrapText="bothSides">
              <wp:wrapPolygon edited="0">
                <wp:start x="0" y="0"/>
                <wp:lineTo x="0" y="21274"/>
                <wp:lineTo x="21486" y="21274"/>
                <wp:lineTo x="21486" y="0"/>
                <wp:lineTo x="0" y="0"/>
              </wp:wrapPolygon>
            </wp:wrapThrough>
            <wp:docPr id="803131062" name="Image 2"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31062" name="Image 2" descr="Une image contenant texte, capture d’écran, Police, nombre&#10;&#10;Le contenu généré par l’IA peut être incorrect."/>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079240"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41" w:history="1">
        <w:r w:rsidR="005E2A0A" w:rsidRPr="00240C99">
          <w:rPr>
            <w:rStyle w:val="Lienhypertexte"/>
            <w:rFonts w:ascii="Kohinoor Devanagari" w:hAnsi="Kohinoor Devanagari" w:cs="Kohinoor Devanagari"/>
            <w:sz w:val="20"/>
            <w:szCs w:val="20"/>
          </w:rPr>
          <w:t>Re</w:t>
        </w:r>
        <w:r w:rsidR="005E2A0A" w:rsidRPr="005E2A0A">
          <w:rPr>
            <w:rStyle w:val="Lienhypertexte"/>
            <w:rFonts w:ascii="Kohinoor Devanagari" w:hAnsi="Kohinoor Devanagari" w:cs="Kohinoor Devanagari"/>
            <w:i/>
            <w:iCs/>
            <w:sz w:val="20"/>
            <w:szCs w:val="20"/>
          </w:rPr>
          <w:t xml:space="preserve">source </w:t>
        </w:r>
        <w:proofErr w:type="spellStart"/>
        <w:r w:rsidR="005E2A0A" w:rsidRPr="005E2A0A">
          <w:rPr>
            <w:rStyle w:val="Lienhypertexte"/>
            <w:rFonts w:ascii="Kohinoor Devanagari" w:hAnsi="Kohinoor Devanagari" w:cs="Kohinoor Devanagari"/>
            <w:i/>
            <w:iCs/>
            <w:sz w:val="20"/>
            <w:szCs w:val="20"/>
          </w:rPr>
          <w:t>Contracts</w:t>
        </w:r>
        <w:proofErr w:type="spellEnd"/>
      </w:hyperlink>
      <w:r w:rsidR="005E2A0A" w:rsidRPr="005E2A0A">
        <w:rPr>
          <w:rFonts w:ascii="Kohinoor Devanagari" w:hAnsi="Kohinoor Devanagari" w:cs="Kohinoor Devanagari"/>
          <w:sz w:val="20"/>
          <w:szCs w:val="20"/>
        </w:rPr>
        <w:t xml:space="preserve"> est une base de données mondiale centralisant les contrats pétroliers, gaziers et miniers rendus publics. Elle propose :</w:t>
      </w:r>
      <w:r w:rsidR="005E2A0A" w:rsidRPr="00240C99">
        <w:rPr>
          <w:rFonts w:ascii="Kohinoor Devanagari" w:eastAsia="Times New Roman" w:hAnsi="Kohinoor Devanagari" w:cs="Kohinoor Devanagari"/>
          <w:noProof/>
          <w:kern w:val="0"/>
          <w:sz w:val="20"/>
          <w:szCs w:val="20"/>
          <w:lang w:eastAsia="fr-FR"/>
          <w14:ligatures w14:val="none"/>
        </w:rPr>
        <w:t xml:space="preserve"> </w:t>
      </w:r>
    </w:p>
    <w:p w14:paraId="57BC4F63" w14:textId="347F346A" w:rsidR="005E2A0A" w:rsidRPr="005E2A0A" w:rsidRDefault="005E2A0A" w:rsidP="00240C99">
      <w:pPr>
        <w:numPr>
          <w:ilvl w:val="0"/>
          <w:numId w:val="129"/>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des documents originaux (PDF) incluant conventions, avenants, annexes ;</w:t>
      </w:r>
    </w:p>
    <w:p w14:paraId="6E3E5F34" w14:textId="4E47F2EC" w:rsidR="005E2A0A" w:rsidRPr="005E2A0A" w:rsidRDefault="005E2A0A" w:rsidP="00240C99">
      <w:pPr>
        <w:numPr>
          <w:ilvl w:val="0"/>
          <w:numId w:val="129"/>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des résumés en langage clair des clauses clés (fiscalité, obligations sociales, environnement, droits humains) ;</w:t>
      </w:r>
    </w:p>
    <w:p w14:paraId="69D750B7" w14:textId="58C904BF" w:rsidR="005E2A0A" w:rsidRPr="005E2A0A" w:rsidRDefault="005E2A0A" w:rsidP="00240C99">
      <w:pPr>
        <w:numPr>
          <w:ilvl w:val="0"/>
          <w:numId w:val="129"/>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des outils de recherche par pays, ressource, entreprise ou date ;</w:t>
      </w:r>
    </w:p>
    <w:p w14:paraId="04405C05" w14:textId="1F1C7298" w:rsidR="005E2A0A" w:rsidRPr="005E2A0A" w:rsidRDefault="005E2A0A" w:rsidP="00240C99">
      <w:pPr>
        <w:numPr>
          <w:ilvl w:val="0"/>
          <w:numId w:val="129"/>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des tableaux synthétiques téléchargeables (Excel) avec les métadonnées principales.</w:t>
      </w:r>
    </w:p>
    <w:p w14:paraId="3416CFA2" w14:textId="4D83BE78" w:rsidR="005E2A0A" w:rsidRPr="005E2A0A" w:rsidRDefault="005E2A0A" w:rsidP="00240C99">
      <w:p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b/>
          <w:bCs/>
          <w:sz w:val="20"/>
          <w:szCs w:val="20"/>
        </w:rPr>
        <w:lastRenderedPageBreak/>
        <w:t>Données disponibles pour le Cameroun</w:t>
      </w:r>
      <w:r w:rsidRPr="005E2A0A">
        <w:rPr>
          <w:rFonts w:ascii="Kohinoor Devanagari" w:hAnsi="Kohinoor Devanagari" w:cs="Kohinoor Devanagari"/>
          <w:sz w:val="20"/>
          <w:szCs w:val="20"/>
        </w:rPr>
        <w:t xml:space="preserve"> :</w:t>
      </w:r>
    </w:p>
    <w:p w14:paraId="6A284CF2" w14:textId="5EBA850B" w:rsidR="005E2A0A" w:rsidRPr="005E2A0A" w:rsidRDefault="005E2A0A" w:rsidP="00240C99">
      <w:pPr>
        <w:numPr>
          <w:ilvl w:val="0"/>
          <w:numId w:val="130"/>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14 documents contractuels publiés à ce jour, couvrant plus de 5 ressources naturelles ;</w:t>
      </w:r>
    </w:p>
    <w:p w14:paraId="271CCA9D" w14:textId="4CBBAC6C" w:rsidR="005E2A0A" w:rsidRPr="005E2A0A" w:rsidRDefault="005E2A0A" w:rsidP="00240C99">
      <w:pPr>
        <w:numPr>
          <w:ilvl w:val="0"/>
          <w:numId w:val="130"/>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informations structurées sur : la ressource, le type de document, la date de signature, la société contractante, la langue du contrat, etc.</w:t>
      </w:r>
    </w:p>
    <w:p w14:paraId="1695B5B1" w14:textId="0E52E828" w:rsidR="005E2A0A" w:rsidRPr="005E2A0A" w:rsidRDefault="005E2A0A" w:rsidP="00240C99">
      <w:p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b/>
          <w:bCs/>
          <w:sz w:val="20"/>
          <w:szCs w:val="20"/>
        </w:rPr>
        <w:t>Limites</w:t>
      </w:r>
      <w:r w:rsidRPr="005E2A0A">
        <w:rPr>
          <w:rFonts w:ascii="Kohinoor Devanagari" w:hAnsi="Kohinoor Devanagari" w:cs="Kohinoor Devanagari"/>
          <w:sz w:val="20"/>
          <w:szCs w:val="20"/>
        </w:rPr>
        <w:t xml:space="preserve"> :</w:t>
      </w:r>
    </w:p>
    <w:p w14:paraId="0867F3D0" w14:textId="77777777" w:rsidR="005E2A0A" w:rsidRPr="005E2A0A" w:rsidRDefault="005E2A0A" w:rsidP="00240C99">
      <w:pPr>
        <w:numPr>
          <w:ilvl w:val="0"/>
          <w:numId w:val="131"/>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La majorité des contrats miniers camerounais ne sont pas encore publiés ;</w:t>
      </w:r>
    </w:p>
    <w:p w14:paraId="170121FF" w14:textId="77777777" w:rsidR="005E2A0A" w:rsidRPr="005E2A0A" w:rsidRDefault="005E2A0A" w:rsidP="00240C99">
      <w:pPr>
        <w:numPr>
          <w:ilvl w:val="0"/>
          <w:numId w:val="131"/>
        </w:numPr>
        <w:spacing w:before="120" w:after="120" w:line="240" w:lineRule="auto"/>
        <w:jc w:val="both"/>
        <w:rPr>
          <w:rFonts w:ascii="Kohinoor Devanagari" w:hAnsi="Kohinoor Devanagari" w:cs="Kohinoor Devanagari"/>
          <w:sz w:val="20"/>
          <w:szCs w:val="20"/>
        </w:rPr>
      </w:pPr>
      <w:r w:rsidRPr="005E2A0A">
        <w:rPr>
          <w:rFonts w:ascii="Kohinoor Devanagari" w:hAnsi="Kohinoor Devanagari" w:cs="Kohinoor Devanagari"/>
          <w:sz w:val="20"/>
          <w:szCs w:val="20"/>
        </w:rPr>
        <w:t>Absence d’interface ou de lien automatisé avec les sites nationaux (MINMIDT, ITIE-Cameroun).</w:t>
      </w:r>
    </w:p>
    <w:p w14:paraId="4C785380" w14:textId="77777777" w:rsidR="005E2A0A" w:rsidRPr="009B3188" w:rsidRDefault="005E2A0A" w:rsidP="008C52EB">
      <w:pPr>
        <w:jc w:val="both"/>
        <w:rPr>
          <w:rFonts w:ascii="Kohinoor Devanagari" w:hAnsi="Kohinoor Devanagari" w:cs="Kohinoor Devanagari"/>
        </w:rPr>
      </w:pPr>
    </w:p>
    <w:p w14:paraId="2C731693" w14:textId="77777777" w:rsidR="0019164F" w:rsidRPr="009B3188" w:rsidRDefault="0019164F" w:rsidP="00532DDE">
      <w:pPr>
        <w:spacing w:before="120" w:after="120"/>
        <w:jc w:val="both"/>
        <w:rPr>
          <w:rFonts w:ascii="Kohinoor Devanagari" w:hAnsi="Kohinoor Devanagari" w:cs="Kohinoor Devanagari"/>
          <w:shd w:val="clear" w:color="auto" w:fill="FFFFFF"/>
        </w:rPr>
      </w:pPr>
    </w:p>
    <w:p w14:paraId="696C3A18" w14:textId="77777777" w:rsidR="0019164F" w:rsidRPr="009B3188" w:rsidRDefault="0019164F" w:rsidP="00532DDE">
      <w:pPr>
        <w:spacing w:before="120" w:after="120"/>
        <w:jc w:val="both"/>
        <w:rPr>
          <w:rFonts w:ascii="Kohinoor Devanagari" w:hAnsi="Kohinoor Devanagari" w:cs="Kohinoor Devanagari"/>
          <w:color w:val="333333"/>
        </w:rPr>
      </w:pPr>
    </w:p>
    <w:p w14:paraId="31D4ADB7" w14:textId="79BD9FBD" w:rsidR="004E519D" w:rsidRPr="009B3188" w:rsidRDefault="004E519D">
      <w:pPr>
        <w:rPr>
          <w:rFonts w:ascii="Kohinoor Devanagari" w:eastAsia="Times New Roman" w:hAnsi="Kohinoor Devanagari" w:cs="Kohinoor Devanagari"/>
          <w:b/>
          <w:bCs/>
          <w:color w:val="000000" w:themeColor="text1"/>
          <w:kern w:val="0"/>
          <w:lang w:eastAsia="fr-FR"/>
        </w:rPr>
        <w:sectPr w:rsidR="004E519D" w:rsidRPr="009B3188" w:rsidSect="00405547">
          <w:footerReference w:type="default" r:id="rId42"/>
          <w:pgSz w:w="11906" w:h="16838"/>
          <w:pgMar w:top="1417" w:right="1417" w:bottom="1417" w:left="1417" w:header="708" w:footer="708" w:gutter="0"/>
          <w:cols w:space="708"/>
          <w:docGrid w:linePitch="360"/>
        </w:sectPr>
      </w:pPr>
    </w:p>
    <w:p w14:paraId="32CB3DBE" w14:textId="106108E5" w:rsidR="00042878" w:rsidRPr="009B3188" w:rsidRDefault="00E019D7" w:rsidP="001059BE">
      <w:pPr>
        <w:pStyle w:val="Titre1"/>
        <w:numPr>
          <w:ilvl w:val="0"/>
          <w:numId w:val="8"/>
        </w:numPr>
        <w:shd w:val="clear" w:color="auto" w:fill="61BC4D"/>
        <w:spacing w:before="180" w:after="180"/>
        <w:ind w:left="357" w:hanging="357"/>
        <w:rPr>
          <w:rFonts w:ascii="Kohinoor Devanagari" w:hAnsi="Kohinoor Devanagari" w:cs="Kohinoor Devanagari"/>
          <w:b/>
          <w:bCs/>
          <w:color w:val="FFFFFF" w:themeColor="background1"/>
          <w:sz w:val="26"/>
          <w:szCs w:val="26"/>
        </w:rPr>
      </w:pPr>
      <w:bookmarkStart w:id="28" w:name="_Toc204691615"/>
      <w:r w:rsidRPr="009B3188">
        <w:rPr>
          <w:rFonts w:ascii="Kohinoor Devanagari" w:hAnsi="Kohinoor Devanagari" w:cs="Kohinoor Devanagari"/>
          <w:b/>
          <w:bCs/>
          <w:color w:val="FFFFFF" w:themeColor="background1"/>
          <w:sz w:val="26"/>
          <w:szCs w:val="26"/>
        </w:rPr>
        <w:lastRenderedPageBreak/>
        <w:t>Obstacles à la divulgation systématique</w:t>
      </w:r>
      <w:bookmarkEnd w:id="28"/>
    </w:p>
    <w:p w14:paraId="1B6D2FD3" w14:textId="77777777" w:rsidR="00FB3AA2" w:rsidRPr="00FB3AA2" w:rsidRDefault="00FB3AA2" w:rsidP="00240C99">
      <w:pPr>
        <w:spacing w:before="120" w:after="120" w:line="240" w:lineRule="auto"/>
        <w:jc w:val="both"/>
        <w:rPr>
          <w:rFonts w:ascii="Kohinoor Devanagari" w:hAnsi="Kohinoor Devanagari" w:cs="Kohinoor Devanagari"/>
          <w:color w:val="000000" w:themeColor="text1"/>
          <w:sz w:val="20"/>
          <w:szCs w:val="20"/>
        </w:rPr>
      </w:pPr>
      <w:r w:rsidRPr="00FB3AA2">
        <w:rPr>
          <w:rFonts w:ascii="Kohinoor Devanagari" w:hAnsi="Kohinoor Devanagari" w:cs="Kohinoor Devanagari"/>
          <w:color w:val="000000" w:themeColor="text1"/>
          <w:sz w:val="20"/>
          <w:szCs w:val="20"/>
        </w:rPr>
        <w:t>Cette section dresse un état des lieux des principaux freins à l’intégration des données ITIE dans les systèmes numériques de gestion et de diffusion du gouvernement camerounais. Elle s’appuie sur une analyse documentaire approfondie et des entretiens avec les institutions productrices de données, les utilisateurs finaux, et les membres du Comité ITIE.</w:t>
      </w:r>
    </w:p>
    <w:p w14:paraId="46D06DD2" w14:textId="77777777" w:rsidR="00FB3AA2" w:rsidRPr="00FB3AA2" w:rsidRDefault="00FB3AA2" w:rsidP="00240C99">
      <w:pPr>
        <w:spacing w:before="120" w:after="120" w:line="240" w:lineRule="auto"/>
        <w:jc w:val="both"/>
        <w:rPr>
          <w:rFonts w:ascii="Kohinoor Devanagari" w:hAnsi="Kohinoor Devanagari" w:cs="Kohinoor Devanagari"/>
          <w:color w:val="000000" w:themeColor="text1"/>
          <w:sz w:val="20"/>
          <w:szCs w:val="20"/>
        </w:rPr>
      </w:pPr>
      <w:r w:rsidRPr="00FB3AA2">
        <w:rPr>
          <w:rFonts w:ascii="Kohinoor Devanagari" w:hAnsi="Kohinoor Devanagari" w:cs="Kohinoor Devanagari"/>
          <w:color w:val="000000" w:themeColor="text1"/>
          <w:sz w:val="20"/>
          <w:szCs w:val="20"/>
        </w:rPr>
        <w:t xml:space="preserve">L’évaluation met en lumière des </w:t>
      </w:r>
      <w:r w:rsidRPr="00FB3AA2">
        <w:rPr>
          <w:rFonts w:ascii="Kohinoor Devanagari" w:hAnsi="Kohinoor Devanagari" w:cs="Kohinoor Devanagari"/>
          <w:b/>
          <w:bCs/>
          <w:color w:val="000000" w:themeColor="text1"/>
          <w:sz w:val="20"/>
          <w:szCs w:val="20"/>
        </w:rPr>
        <w:t>obstacles multidimensionnels – techniques, institutionnels, juridiques et organisationnels</w:t>
      </w:r>
      <w:r w:rsidRPr="00FB3AA2">
        <w:rPr>
          <w:rFonts w:ascii="Kohinoor Devanagari" w:hAnsi="Kohinoor Devanagari" w:cs="Kohinoor Devanagari"/>
          <w:color w:val="000000" w:themeColor="text1"/>
          <w:sz w:val="20"/>
          <w:szCs w:val="20"/>
        </w:rPr>
        <w:t xml:space="preserve"> – qui limitent la disponibilité, l’accessibilité, la qualité et la réutilisabilité des données extractives.</w:t>
      </w:r>
    </w:p>
    <w:p w14:paraId="4B14339C" w14:textId="562F815C" w:rsidR="00602D8C" w:rsidRPr="00240C99" w:rsidRDefault="00602D8C" w:rsidP="00240C99">
      <w:pPr>
        <w:pStyle w:val="Titre2"/>
        <w:numPr>
          <w:ilvl w:val="1"/>
          <w:numId w:val="8"/>
        </w:numPr>
        <w:spacing w:before="120" w:after="120" w:line="240" w:lineRule="auto"/>
        <w:ind w:left="851" w:hanging="491"/>
        <w:rPr>
          <w:rFonts w:ascii="Kohinoor Devanagari" w:eastAsia="Times New Roman" w:hAnsi="Kohinoor Devanagari" w:cs="Kohinoor Devanagari"/>
          <w:b/>
          <w:bCs/>
          <w:color w:val="000000" w:themeColor="text1"/>
          <w:sz w:val="20"/>
          <w:szCs w:val="20"/>
          <w:lang w:eastAsia="fr-FR"/>
        </w:rPr>
      </w:pPr>
      <w:bookmarkStart w:id="29" w:name="_Toc204691616"/>
      <w:r w:rsidRPr="00240C99">
        <w:rPr>
          <w:rFonts w:ascii="Kohinoor Devanagari" w:eastAsia="Times New Roman" w:hAnsi="Kohinoor Devanagari" w:cs="Kohinoor Devanagari"/>
          <w:b/>
          <w:bCs/>
          <w:color w:val="000000" w:themeColor="text1"/>
          <w:sz w:val="20"/>
          <w:szCs w:val="20"/>
          <w:lang w:eastAsia="fr-FR"/>
        </w:rPr>
        <w:t>Analyse des textes juridiques</w:t>
      </w:r>
      <w:bookmarkEnd w:id="29"/>
    </w:p>
    <w:p w14:paraId="0FF3D815" w14:textId="37415563" w:rsidR="008F253F" w:rsidRPr="00240C99" w:rsidRDefault="008F253F" w:rsidP="00240C99">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Code de transparence (Loi n°2018/011)</w:t>
      </w:r>
    </w:p>
    <w:p w14:paraId="18B55CA5" w14:textId="77777777" w:rsidR="008F253F" w:rsidRPr="00240C99" w:rsidRDefault="008F253F" w:rsidP="00240C99">
      <w:pPr>
        <w:spacing w:before="120" w:after="120" w:line="240" w:lineRule="auto"/>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La </w:t>
      </w:r>
      <w:r w:rsidRPr="00240C99">
        <w:rPr>
          <w:rFonts w:ascii="Kohinoor Devanagari" w:hAnsi="Kohinoor Devanagari" w:cs="Kohinoor Devanagari"/>
          <w:b/>
          <w:bCs/>
          <w:sz w:val="20"/>
          <w:szCs w:val="20"/>
        </w:rPr>
        <w:t>Loi n°2018/011</w:t>
      </w:r>
      <w:r w:rsidRPr="00240C99">
        <w:rPr>
          <w:rFonts w:ascii="Kohinoor Devanagari" w:hAnsi="Kohinoor Devanagari" w:cs="Kohinoor Devanagari"/>
          <w:sz w:val="20"/>
          <w:szCs w:val="20"/>
        </w:rPr>
        <w:t xml:space="preserve"> sur la transparence et la bonne gouvernance constitue une base juridique robuste pour promouvoir la divulgation systématique des données extractives, en particulier celles à portée budgétaire et financière. Plusieurs dispositions soutiennent explicitement l'ouverture des données publiques et la transparence sectorielle.</w:t>
      </w:r>
    </w:p>
    <w:p w14:paraId="00AFF692" w14:textId="77777777" w:rsidR="008F253F" w:rsidRPr="00240C99" w:rsidRDefault="008F253F" w:rsidP="00240C99">
      <w:pPr>
        <w:spacing w:before="120" w:after="120" w:line="240" w:lineRule="auto"/>
        <w:rPr>
          <w:rFonts w:ascii="Kohinoor Devanagari" w:hAnsi="Kohinoor Devanagari" w:cs="Kohinoor Devanagari"/>
          <w:b/>
          <w:bCs/>
          <w:sz w:val="20"/>
          <w:szCs w:val="20"/>
        </w:rPr>
      </w:pPr>
      <w:r w:rsidRPr="00240C99">
        <w:rPr>
          <w:rFonts w:ascii="Kohinoor Devanagari" w:hAnsi="Kohinoor Devanagari" w:cs="Kohinoor Devanagari"/>
          <w:b/>
          <w:bCs/>
          <w:sz w:val="20"/>
          <w:szCs w:val="20"/>
        </w:rPr>
        <w:t>a) Opportunités pour la divulgation systématique</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1310"/>
        <w:gridCol w:w="4492"/>
        <w:gridCol w:w="3260"/>
      </w:tblGrid>
      <w:tr w:rsidR="00610F0B" w:rsidRPr="00240C99" w14:paraId="6F60CAAD" w14:textId="77777777" w:rsidTr="00610F0B">
        <w:tc>
          <w:tcPr>
            <w:tcW w:w="0" w:type="auto"/>
            <w:shd w:val="clear" w:color="auto" w:fill="47626F"/>
            <w:hideMark/>
          </w:tcPr>
          <w:p w14:paraId="7992DD3B"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Disposition</w:t>
            </w:r>
          </w:p>
        </w:tc>
        <w:tc>
          <w:tcPr>
            <w:tcW w:w="0" w:type="auto"/>
            <w:shd w:val="clear" w:color="auto" w:fill="47626F"/>
            <w:hideMark/>
          </w:tcPr>
          <w:p w14:paraId="123E285C"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Contenu pertinent</w:t>
            </w:r>
          </w:p>
        </w:tc>
        <w:tc>
          <w:tcPr>
            <w:tcW w:w="0" w:type="auto"/>
            <w:shd w:val="clear" w:color="auto" w:fill="47626F"/>
            <w:hideMark/>
          </w:tcPr>
          <w:p w14:paraId="759EFD1A"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Opportunité pour la divulgation systématique</w:t>
            </w:r>
          </w:p>
        </w:tc>
      </w:tr>
      <w:tr w:rsidR="008F253F" w:rsidRPr="00240C99" w14:paraId="4ED721D5" w14:textId="77777777" w:rsidTr="009512AF">
        <w:tc>
          <w:tcPr>
            <w:tcW w:w="0" w:type="auto"/>
            <w:hideMark/>
          </w:tcPr>
          <w:p w14:paraId="6F4C2EFA"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6 (1)</w:t>
            </w:r>
          </w:p>
        </w:tc>
        <w:tc>
          <w:tcPr>
            <w:tcW w:w="0" w:type="auto"/>
            <w:hideMark/>
          </w:tcPr>
          <w:p w14:paraId="58B32ED2"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Les contrats entre l’administration et les entreprises exploitant des ressources naturelles sont </w:t>
            </w:r>
            <w:r w:rsidRPr="00240C99">
              <w:rPr>
                <w:rFonts w:ascii="Kohinoor Devanagari" w:hAnsi="Kohinoor Devanagari" w:cs="Kohinoor Devanagari"/>
                <w:b/>
                <w:bCs/>
                <w:sz w:val="20"/>
                <w:szCs w:val="20"/>
              </w:rPr>
              <w:t>clairs et rendus publics</w:t>
            </w:r>
            <w:r w:rsidRPr="00240C99">
              <w:rPr>
                <w:rFonts w:ascii="Kohinoor Devanagari" w:hAnsi="Kohinoor Devanagari" w:cs="Kohinoor Devanagari"/>
                <w:sz w:val="20"/>
                <w:szCs w:val="20"/>
              </w:rPr>
              <w:t>.</w:t>
            </w:r>
          </w:p>
        </w:tc>
        <w:tc>
          <w:tcPr>
            <w:tcW w:w="0" w:type="auto"/>
            <w:hideMark/>
          </w:tcPr>
          <w:p w14:paraId="6D180DD2"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Base légale pour la publication systématique des contrats extractifs.</w:t>
            </w:r>
          </w:p>
        </w:tc>
      </w:tr>
      <w:tr w:rsidR="008F253F" w:rsidRPr="00240C99" w14:paraId="6EF634EC" w14:textId="77777777" w:rsidTr="00697387">
        <w:tc>
          <w:tcPr>
            <w:tcW w:w="0" w:type="auto"/>
            <w:shd w:val="clear" w:color="auto" w:fill="E2EFD9" w:themeFill="accent6" w:themeFillTint="33"/>
            <w:hideMark/>
          </w:tcPr>
          <w:p w14:paraId="2E39BBA0"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32</w:t>
            </w:r>
          </w:p>
        </w:tc>
        <w:tc>
          <w:tcPr>
            <w:tcW w:w="0" w:type="auto"/>
            <w:shd w:val="clear" w:color="auto" w:fill="E2EFD9" w:themeFill="accent6" w:themeFillTint="33"/>
            <w:hideMark/>
          </w:tcPr>
          <w:p w14:paraId="77DFBB65"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Les recettes issues des ressources naturelles doivent apparaître de </w:t>
            </w:r>
            <w:r w:rsidRPr="00240C99">
              <w:rPr>
                <w:rFonts w:ascii="Kohinoor Devanagari" w:hAnsi="Kohinoor Devanagari" w:cs="Kohinoor Devanagari"/>
                <w:b/>
                <w:bCs/>
                <w:sz w:val="20"/>
                <w:szCs w:val="20"/>
              </w:rPr>
              <w:t>façon détaillée et justifiée</w:t>
            </w:r>
            <w:r w:rsidRPr="00240C99">
              <w:rPr>
                <w:rFonts w:ascii="Kohinoor Devanagari" w:hAnsi="Kohinoor Devanagari" w:cs="Kohinoor Devanagari"/>
                <w:sz w:val="20"/>
                <w:szCs w:val="20"/>
              </w:rPr>
              <w:t xml:space="preserve"> dans les budgets.</w:t>
            </w:r>
          </w:p>
        </w:tc>
        <w:tc>
          <w:tcPr>
            <w:tcW w:w="0" w:type="auto"/>
            <w:shd w:val="clear" w:color="auto" w:fill="E2EFD9" w:themeFill="accent6" w:themeFillTint="33"/>
            <w:hideMark/>
          </w:tcPr>
          <w:p w14:paraId="5D24FC76"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rendre publiques les recettes extractives, base pour l’automatisation de cette divulgation.</w:t>
            </w:r>
          </w:p>
        </w:tc>
      </w:tr>
      <w:tr w:rsidR="008F253F" w:rsidRPr="00240C99" w14:paraId="44DCAA02" w14:textId="77777777" w:rsidTr="009512AF">
        <w:tc>
          <w:tcPr>
            <w:tcW w:w="0" w:type="auto"/>
            <w:hideMark/>
          </w:tcPr>
          <w:p w14:paraId="76593DD0"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47 à 50</w:t>
            </w:r>
          </w:p>
        </w:tc>
        <w:tc>
          <w:tcPr>
            <w:tcW w:w="0" w:type="auto"/>
            <w:hideMark/>
          </w:tcPr>
          <w:p w14:paraId="58A54CF9"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 xml:space="preserve">Obligation de publication de toutes les informations relatives aux finances publiques, y compris sur les </w:t>
            </w:r>
            <w:r w:rsidRPr="00240C99">
              <w:rPr>
                <w:rFonts w:ascii="Kohinoor Devanagari" w:hAnsi="Kohinoor Devanagari" w:cs="Kohinoor Devanagari"/>
                <w:b/>
                <w:bCs/>
                <w:sz w:val="20"/>
                <w:szCs w:val="20"/>
              </w:rPr>
              <w:t>sites web officiels</w:t>
            </w:r>
            <w:r w:rsidRPr="00240C99">
              <w:rPr>
                <w:rFonts w:ascii="Kohinoor Devanagari" w:hAnsi="Kohinoor Devanagari" w:cs="Kohinoor Devanagari"/>
                <w:sz w:val="20"/>
                <w:szCs w:val="20"/>
              </w:rPr>
              <w:t>, dans une logique d’accessibilité et d’exhaustivité.</w:t>
            </w:r>
          </w:p>
        </w:tc>
        <w:tc>
          <w:tcPr>
            <w:tcW w:w="0" w:type="auto"/>
            <w:hideMark/>
          </w:tcPr>
          <w:p w14:paraId="5886C266"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Fait du web un vecteur légal de publication systématique (base pour l'intégration dans les portails).</w:t>
            </w:r>
          </w:p>
        </w:tc>
      </w:tr>
      <w:tr w:rsidR="008F253F" w:rsidRPr="00240C99" w14:paraId="2AA3C23B" w14:textId="77777777" w:rsidTr="00697387">
        <w:tc>
          <w:tcPr>
            <w:tcW w:w="0" w:type="auto"/>
            <w:shd w:val="clear" w:color="auto" w:fill="E2EFD9" w:themeFill="accent6" w:themeFillTint="33"/>
            <w:hideMark/>
          </w:tcPr>
          <w:p w14:paraId="6072D83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19</w:t>
            </w:r>
          </w:p>
        </w:tc>
        <w:tc>
          <w:tcPr>
            <w:tcW w:w="0" w:type="auto"/>
            <w:shd w:val="clear" w:color="auto" w:fill="E2EFD9" w:themeFill="accent6" w:themeFillTint="33"/>
            <w:hideMark/>
          </w:tcPr>
          <w:p w14:paraId="30DE308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Les données statistiques doivent être </w:t>
            </w:r>
            <w:r w:rsidRPr="00240C99">
              <w:rPr>
                <w:rFonts w:ascii="Kohinoor Devanagari" w:hAnsi="Kohinoor Devanagari" w:cs="Kohinoor Devanagari"/>
                <w:b/>
                <w:bCs/>
                <w:sz w:val="20"/>
                <w:szCs w:val="20"/>
              </w:rPr>
              <w:t>publiées de façon indépendante</w:t>
            </w:r>
            <w:r w:rsidRPr="00240C99">
              <w:rPr>
                <w:rFonts w:ascii="Kohinoor Devanagari" w:hAnsi="Kohinoor Devanagari" w:cs="Kohinoor Devanagari"/>
                <w:sz w:val="20"/>
                <w:szCs w:val="20"/>
              </w:rPr>
              <w:t>, avec la méthodologie associée.</w:t>
            </w:r>
          </w:p>
        </w:tc>
        <w:tc>
          <w:tcPr>
            <w:tcW w:w="0" w:type="auto"/>
            <w:shd w:val="clear" w:color="auto" w:fill="E2EFD9" w:themeFill="accent6" w:themeFillTint="33"/>
            <w:hideMark/>
          </w:tcPr>
          <w:p w14:paraId="56F9078E"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Encourage la fiabilité et la mise à disposition systématique des données désagrégées.</w:t>
            </w:r>
          </w:p>
        </w:tc>
      </w:tr>
    </w:tbl>
    <w:p w14:paraId="2FF8C814" w14:textId="77777777" w:rsidR="00C774F0" w:rsidRDefault="00C774F0" w:rsidP="008F253F">
      <w:pPr>
        <w:spacing w:before="120"/>
        <w:rPr>
          <w:rFonts w:ascii="Kohinoor Devanagari" w:hAnsi="Kohinoor Devanagari" w:cs="Kohinoor Devanagari"/>
          <w:b/>
          <w:bCs/>
          <w:sz w:val="20"/>
          <w:szCs w:val="20"/>
        </w:rPr>
      </w:pPr>
    </w:p>
    <w:p w14:paraId="58C09213"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675F1DA2" w14:textId="762085F9" w:rsidR="008F253F" w:rsidRPr="00240C99" w:rsidRDefault="008F253F" w:rsidP="008F253F">
      <w:pPr>
        <w:spacing w:before="120"/>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b) Contraintes ou limites à la divulgation systématique</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1604"/>
        <w:gridCol w:w="4662"/>
        <w:gridCol w:w="2796"/>
      </w:tblGrid>
      <w:tr w:rsidR="00610F0B" w:rsidRPr="00240C99" w14:paraId="34D6AFB1" w14:textId="77777777" w:rsidTr="00610F0B">
        <w:trPr>
          <w:tblHeader/>
        </w:trPr>
        <w:tc>
          <w:tcPr>
            <w:tcW w:w="0" w:type="auto"/>
            <w:shd w:val="clear" w:color="auto" w:fill="47626F"/>
            <w:hideMark/>
          </w:tcPr>
          <w:p w14:paraId="4700C5A4"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Disposition</w:t>
            </w:r>
          </w:p>
        </w:tc>
        <w:tc>
          <w:tcPr>
            <w:tcW w:w="0" w:type="auto"/>
            <w:shd w:val="clear" w:color="auto" w:fill="47626F"/>
            <w:hideMark/>
          </w:tcPr>
          <w:p w14:paraId="03AAECBD"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Limite observée</w:t>
            </w:r>
          </w:p>
        </w:tc>
        <w:tc>
          <w:tcPr>
            <w:tcW w:w="0" w:type="auto"/>
            <w:shd w:val="clear" w:color="auto" w:fill="47626F"/>
            <w:hideMark/>
          </w:tcPr>
          <w:p w14:paraId="4F48BF10"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Effet sur la divulgation</w:t>
            </w:r>
          </w:p>
        </w:tc>
      </w:tr>
      <w:tr w:rsidR="008F253F" w:rsidRPr="00240C99" w14:paraId="70B2AC3E" w14:textId="77777777" w:rsidTr="009512AF">
        <w:tc>
          <w:tcPr>
            <w:tcW w:w="0" w:type="auto"/>
            <w:hideMark/>
          </w:tcPr>
          <w:p w14:paraId="2B1EDBD7"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6 (1)</w:t>
            </w:r>
          </w:p>
        </w:tc>
        <w:tc>
          <w:tcPr>
            <w:tcW w:w="0" w:type="auto"/>
            <w:hideMark/>
          </w:tcPr>
          <w:p w14:paraId="59E485F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publication des contrats, mais pas de délai précisé, ni de forme standardisée.</w:t>
            </w:r>
          </w:p>
        </w:tc>
        <w:tc>
          <w:tcPr>
            <w:tcW w:w="0" w:type="auto"/>
            <w:hideMark/>
          </w:tcPr>
          <w:p w14:paraId="2EF46425"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Manque de mécanisme opérationnel pour la divulgation automatique.</w:t>
            </w:r>
          </w:p>
        </w:tc>
      </w:tr>
      <w:tr w:rsidR="008F253F" w:rsidRPr="00240C99" w14:paraId="1677286D" w14:textId="77777777" w:rsidTr="00697387">
        <w:tc>
          <w:tcPr>
            <w:tcW w:w="0" w:type="auto"/>
            <w:shd w:val="clear" w:color="auto" w:fill="E2EFD9" w:themeFill="accent6" w:themeFillTint="33"/>
            <w:hideMark/>
          </w:tcPr>
          <w:p w14:paraId="1186A755"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50</w:t>
            </w:r>
          </w:p>
        </w:tc>
        <w:tc>
          <w:tcPr>
            <w:tcW w:w="0" w:type="auto"/>
            <w:shd w:val="clear" w:color="auto" w:fill="E2EFD9" w:themeFill="accent6" w:themeFillTint="33"/>
            <w:hideMark/>
          </w:tcPr>
          <w:p w14:paraId="75CE356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Les documents doivent être publiés sur les sites des institutions compétentes. Cependant, dans la pratique, de nombreux documents extractifs (EIE, permis, données de production) </w:t>
            </w:r>
            <w:r w:rsidRPr="00240C99">
              <w:rPr>
                <w:rFonts w:ascii="Kohinoor Devanagari" w:hAnsi="Kohinoor Devanagari" w:cs="Kohinoor Devanagari"/>
                <w:b/>
                <w:bCs/>
                <w:sz w:val="20"/>
                <w:szCs w:val="20"/>
              </w:rPr>
              <w:t>ne sont pas mis en ligne</w:t>
            </w:r>
            <w:r w:rsidRPr="00240C99">
              <w:rPr>
                <w:rFonts w:ascii="Kohinoor Devanagari" w:hAnsi="Kohinoor Devanagari" w:cs="Kohinoor Devanagari"/>
                <w:sz w:val="20"/>
                <w:szCs w:val="20"/>
              </w:rPr>
              <w:t>.</w:t>
            </w:r>
          </w:p>
        </w:tc>
        <w:tc>
          <w:tcPr>
            <w:tcW w:w="0" w:type="auto"/>
            <w:shd w:val="clear" w:color="auto" w:fill="E2EFD9" w:themeFill="accent6" w:themeFillTint="33"/>
            <w:hideMark/>
          </w:tcPr>
          <w:p w14:paraId="02E496B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Écart entre la loi et les pratiques effectives, ce qui freine la systématisation.</w:t>
            </w:r>
          </w:p>
        </w:tc>
      </w:tr>
      <w:tr w:rsidR="008F253F" w:rsidRPr="00240C99" w14:paraId="795C850D" w14:textId="77777777" w:rsidTr="009512AF">
        <w:tc>
          <w:tcPr>
            <w:tcW w:w="0" w:type="auto"/>
            <w:hideMark/>
          </w:tcPr>
          <w:p w14:paraId="7456A2AE"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Absence de sanction explicite</w:t>
            </w:r>
          </w:p>
        </w:tc>
        <w:tc>
          <w:tcPr>
            <w:tcW w:w="0" w:type="auto"/>
            <w:hideMark/>
          </w:tcPr>
          <w:p w14:paraId="3AABF030"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Aucune sanction prévue en cas de non-publication des données sectorielles extractives.</w:t>
            </w:r>
          </w:p>
        </w:tc>
        <w:tc>
          <w:tcPr>
            <w:tcW w:w="0" w:type="auto"/>
            <w:hideMark/>
          </w:tcPr>
          <w:p w14:paraId="712A2864"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Faible incitation institutionnelle à respecter les obligations de divulgation proactive.</w:t>
            </w:r>
          </w:p>
        </w:tc>
      </w:tr>
    </w:tbl>
    <w:p w14:paraId="6D694652" w14:textId="77777777" w:rsidR="008F253F" w:rsidRPr="00240C99" w:rsidRDefault="008F253F" w:rsidP="006557AD">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c) Recommandations</w:t>
      </w:r>
    </w:p>
    <w:p w14:paraId="7ABBA8B4" w14:textId="77777777" w:rsidR="008F253F" w:rsidRPr="00240C99" w:rsidRDefault="008F253F" w:rsidP="001059BE">
      <w:pPr>
        <w:numPr>
          <w:ilvl w:val="0"/>
          <w:numId w:val="10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Activer l’article 6</w:t>
      </w:r>
      <w:r w:rsidRPr="00240C99">
        <w:rPr>
          <w:rFonts w:ascii="Kohinoor Devanagari" w:hAnsi="Kohinoor Devanagari" w:cs="Kohinoor Devanagari"/>
          <w:sz w:val="20"/>
          <w:szCs w:val="20"/>
        </w:rPr>
        <w:t xml:space="preserve"> via des textes d’application définissant les formats, délais et plateformes de publication des contrats extractifs.</w:t>
      </w:r>
    </w:p>
    <w:p w14:paraId="0C43F768" w14:textId="77777777" w:rsidR="008F253F" w:rsidRPr="00240C99" w:rsidRDefault="008F253F" w:rsidP="001059BE">
      <w:pPr>
        <w:numPr>
          <w:ilvl w:val="0"/>
          <w:numId w:val="10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Appuyer les administrations sectorielles (mines, hydrocarbures, environnement)</w:t>
      </w:r>
      <w:r w:rsidRPr="00240C99">
        <w:rPr>
          <w:rFonts w:ascii="Kohinoor Devanagari" w:hAnsi="Kohinoor Devanagari" w:cs="Kohinoor Devanagari"/>
          <w:sz w:val="20"/>
          <w:szCs w:val="20"/>
        </w:rPr>
        <w:t xml:space="preserve"> pour se conformer aux articles 47 à 50 sur la publication en ligne, notamment des EIE, permis environnementaux, et recettes désagrégées.</w:t>
      </w:r>
    </w:p>
    <w:p w14:paraId="2677078E" w14:textId="77777777" w:rsidR="008F253F" w:rsidRPr="00240C99" w:rsidRDefault="008F253F" w:rsidP="001059BE">
      <w:pPr>
        <w:numPr>
          <w:ilvl w:val="0"/>
          <w:numId w:val="10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Élargir la base réglementaire</w:t>
      </w:r>
      <w:r w:rsidRPr="00240C99">
        <w:rPr>
          <w:rFonts w:ascii="Kohinoor Devanagari" w:hAnsi="Kohinoor Devanagari" w:cs="Kohinoor Devanagari"/>
          <w:sz w:val="20"/>
          <w:szCs w:val="20"/>
        </w:rPr>
        <w:t xml:space="preserve"> par un arrêté ou décret fixant l’obligation de transmission numérique des données sectorielles aux plateformes gouvernementales (portails open data, sites ministériels).</w:t>
      </w:r>
    </w:p>
    <w:p w14:paraId="3F69A3F5" w14:textId="77777777" w:rsidR="008F253F" w:rsidRPr="00240C99" w:rsidRDefault="008F253F" w:rsidP="001059BE">
      <w:pPr>
        <w:numPr>
          <w:ilvl w:val="0"/>
          <w:numId w:val="10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Renforcer le contrôle parlementaire et citoyen</w:t>
      </w:r>
      <w:r w:rsidRPr="00240C99">
        <w:rPr>
          <w:rFonts w:ascii="Kohinoor Devanagari" w:hAnsi="Kohinoor Devanagari" w:cs="Kohinoor Devanagari"/>
          <w:sz w:val="20"/>
          <w:szCs w:val="20"/>
        </w:rPr>
        <w:t>, notamment via l’article 13 (droit d'information des députés) et l'article 48 (participation des OSC à la diffusion de l'information).</w:t>
      </w:r>
    </w:p>
    <w:p w14:paraId="52C3D1E2" w14:textId="5EB9D224" w:rsidR="008F253F" w:rsidRPr="00240C99" w:rsidRDefault="008F253F" w:rsidP="001059BE">
      <w:pPr>
        <w:pStyle w:val="Titre3"/>
        <w:numPr>
          <w:ilvl w:val="2"/>
          <w:numId w:val="8"/>
        </w:numPr>
        <w:spacing w:before="120" w:after="120" w:line="240" w:lineRule="auto"/>
        <w:jc w:val="both"/>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Code Minier (Loi n°2023/014)</w:t>
      </w:r>
    </w:p>
    <w:p w14:paraId="3D57A9D0" w14:textId="77777777" w:rsidR="008F253F" w:rsidRPr="00240C99" w:rsidRDefault="008F253F" w:rsidP="006557AD">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Le Code minier de 2023 du Cameroun contient plusieurs dispositions qui établissent une base juridique explicite en faveur de la transparence dans le secteur extractif. Toutefois, certaines limites subsistent quant à la portée, à la forme et à l’accessibilité publique de ces divulgations, ce qui appelle des mesures complémentaires pour permettre une divulgation systématique, accessible et conforme à la Norme ITIE 2023.</w:t>
      </w:r>
    </w:p>
    <w:p w14:paraId="0D51162E"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671A5AD0" w14:textId="6EB0BD0A" w:rsidR="008F253F" w:rsidRPr="00240C99" w:rsidRDefault="008F253F" w:rsidP="008F253F">
      <w:pPr>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a) Opportunités pour la divulgation systématique</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1212"/>
        <w:gridCol w:w="3871"/>
        <w:gridCol w:w="3979"/>
      </w:tblGrid>
      <w:tr w:rsidR="00610F0B" w:rsidRPr="00240C99" w14:paraId="336880E9" w14:textId="77777777" w:rsidTr="00610F0B">
        <w:trPr>
          <w:tblHeader/>
        </w:trPr>
        <w:tc>
          <w:tcPr>
            <w:tcW w:w="0" w:type="auto"/>
            <w:shd w:val="clear" w:color="auto" w:fill="47626F"/>
            <w:hideMark/>
          </w:tcPr>
          <w:p w14:paraId="791ADDFD"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Référence</w:t>
            </w:r>
          </w:p>
        </w:tc>
        <w:tc>
          <w:tcPr>
            <w:tcW w:w="0" w:type="auto"/>
            <w:shd w:val="clear" w:color="auto" w:fill="47626F"/>
            <w:hideMark/>
          </w:tcPr>
          <w:p w14:paraId="16C3197D"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Contenu</w:t>
            </w:r>
          </w:p>
        </w:tc>
        <w:tc>
          <w:tcPr>
            <w:tcW w:w="0" w:type="auto"/>
            <w:shd w:val="clear" w:color="auto" w:fill="47626F"/>
            <w:hideMark/>
          </w:tcPr>
          <w:p w14:paraId="55B59D83"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Opportunité pour la divulgation systématique</w:t>
            </w:r>
          </w:p>
        </w:tc>
      </w:tr>
      <w:tr w:rsidR="008F253F" w:rsidRPr="00240C99" w14:paraId="0329242A" w14:textId="77777777" w:rsidTr="009512AF">
        <w:tc>
          <w:tcPr>
            <w:tcW w:w="0" w:type="auto"/>
            <w:hideMark/>
          </w:tcPr>
          <w:p w14:paraId="4B2627B6"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107</w:t>
            </w:r>
          </w:p>
        </w:tc>
        <w:tc>
          <w:tcPr>
            <w:tcW w:w="0" w:type="auto"/>
            <w:hideMark/>
          </w:tcPr>
          <w:p w14:paraId="11CE4C62"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transparence des titulaires de titres miniers sur les paiements versés à l’État</w:t>
            </w:r>
          </w:p>
        </w:tc>
        <w:tc>
          <w:tcPr>
            <w:tcW w:w="0" w:type="auto"/>
            <w:hideMark/>
          </w:tcPr>
          <w:p w14:paraId="3255083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Base légale explicite pour la divulgation des paiements fiscaux et quasi fiscaux</w:t>
            </w:r>
          </w:p>
        </w:tc>
      </w:tr>
      <w:tr w:rsidR="008F253F" w:rsidRPr="00240C99" w14:paraId="59252567" w14:textId="77777777" w:rsidTr="00697387">
        <w:tc>
          <w:tcPr>
            <w:tcW w:w="0" w:type="auto"/>
            <w:shd w:val="clear" w:color="auto" w:fill="E2EFD9" w:themeFill="accent6" w:themeFillTint="33"/>
            <w:hideMark/>
          </w:tcPr>
          <w:p w14:paraId="5C5D0E3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108</w:t>
            </w:r>
          </w:p>
        </w:tc>
        <w:tc>
          <w:tcPr>
            <w:tcW w:w="0" w:type="auto"/>
            <w:shd w:val="clear" w:color="auto" w:fill="E2EFD9" w:themeFill="accent6" w:themeFillTint="33"/>
            <w:hideMark/>
          </w:tcPr>
          <w:p w14:paraId="78F80FBA"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Alignement sur les engagements ITIE et le Processus de Kimberley</w:t>
            </w:r>
          </w:p>
        </w:tc>
        <w:tc>
          <w:tcPr>
            <w:tcW w:w="0" w:type="auto"/>
            <w:shd w:val="clear" w:color="auto" w:fill="E2EFD9" w:themeFill="accent6" w:themeFillTint="33"/>
            <w:hideMark/>
          </w:tcPr>
          <w:p w14:paraId="5F80540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Renforce l’obligation d’alignement avec les exigences internationales de transparence</w:t>
            </w:r>
          </w:p>
        </w:tc>
      </w:tr>
      <w:tr w:rsidR="008F253F" w:rsidRPr="00240C99" w14:paraId="5B507B38" w14:textId="77777777" w:rsidTr="009512AF">
        <w:tc>
          <w:tcPr>
            <w:tcW w:w="0" w:type="auto"/>
            <w:hideMark/>
          </w:tcPr>
          <w:p w14:paraId="0118C07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109</w:t>
            </w:r>
          </w:p>
        </w:tc>
        <w:tc>
          <w:tcPr>
            <w:tcW w:w="0" w:type="auto"/>
            <w:hideMark/>
          </w:tcPr>
          <w:p w14:paraId="2D9CDCEA"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Traçabilité de la chaîne de valeur des substances minières (diamant et or)</w:t>
            </w:r>
          </w:p>
        </w:tc>
        <w:tc>
          <w:tcPr>
            <w:tcW w:w="0" w:type="auto"/>
            <w:hideMark/>
          </w:tcPr>
          <w:p w14:paraId="75D3D99E"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Justifie la collecte et divulgation des flux physiques et commerciaux</w:t>
            </w:r>
          </w:p>
        </w:tc>
      </w:tr>
      <w:tr w:rsidR="008F253F" w:rsidRPr="00240C99" w14:paraId="59EA7EF5" w14:textId="77777777" w:rsidTr="00697387">
        <w:tc>
          <w:tcPr>
            <w:tcW w:w="0" w:type="auto"/>
            <w:shd w:val="clear" w:color="auto" w:fill="E2EFD9" w:themeFill="accent6" w:themeFillTint="33"/>
            <w:hideMark/>
          </w:tcPr>
          <w:p w14:paraId="3993FC7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110</w:t>
            </w:r>
          </w:p>
        </w:tc>
        <w:tc>
          <w:tcPr>
            <w:tcW w:w="0" w:type="auto"/>
            <w:shd w:val="clear" w:color="auto" w:fill="E2EFD9" w:themeFill="accent6" w:themeFillTint="33"/>
            <w:hideMark/>
          </w:tcPr>
          <w:p w14:paraId="7D495B5C"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publication des actes d’attribution et de transfert de titres miniers au Journal Officiel</w:t>
            </w:r>
          </w:p>
        </w:tc>
        <w:tc>
          <w:tcPr>
            <w:tcW w:w="0" w:type="auto"/>
            <w:shd w:val="clear" w:color="auto" w:fill="E2EFD9" w:themeFill="accent6" w:themeFillTint="33"/>
            <w:hideMark/>
          </w:tcPr>
          <w:p w14:paraId="0242DB7A"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Crée une obligation de transparence sur les décisions administratives liées aux titres</w:t>
            </w:r>
          </w:p>
        </w:tc>
      </w:tr>
      <w:tr w:rsidR="008F253F" w:rsidRPr="00240C99" w14:paraId="6D53C360" w14:textId="77777777" w:rsidTr="009512AF">
        <w:tc>
          <w:tcPr>
            <w:tcW w:w="0" w:type="auto"/>
            <w:hideMark/>
          </w:tcPr>
          <w:p w14:paraId="14155A3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111</w:t>
            </w:r>
          </w:p>
        </w:tc>
        <w:tc>
          <w:tcPr>
            <w:tcW w:w="0" w:type="auto"/>
            <w:hideMark/>
          </w:tcPr>
          <w:p w14:paraId="1232DF54"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divulgation d’informations sur les actionnaires, sous-traitants, dirigeants, bénéficiaires effectifs (</w:t>
            </w:r>
            <w:r w:rsidRPr="00240C99">
              <w:rPr>
                <w:rFonts w:ascii="Cambria Math" w:hAnsi="Cambria Math" w:cs="Cambria Math"/>
                <w:sz w:val="20"/>
                <w:szCs w:val="20"/>
              </w:rPr>
              <w:t>≥</w:t>
            </w:r>
            <w:r w:rsidRPr="00240C99">
              <w:rPr>
                <w:rFonts w:ascii="Kohinoor Devanagari" w:hAnsi="Kohinoor Devanagari" w:cs="Kohinoor Devanagari"/>
                <w:sz w:val="20"/>
                <w:szCs w:val="20"/>
              </w:rPr>
              <w:t xml:space="preserve"> 5%)</w:t>
            </w:r>
          </w:p>
        </w:tc>
        <w:tc>
          <w:tcPr>
            <w:tcW w:w="0" w:type="auto"/>
            <w:hideMark/>
          </w:tcPr>
          <w:p w14:paraId="44AE49D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Base juridique claire pour la collecte et potentielle divulgation des bénéficiaires effectifs et de la structure de propriété</w:t>
            </w:r>
          </w:p>
        </w:tc>
      </w:tr>
      <w:tr w:rsidR="008F253F" w:rsidRPr="00240C99" w14:paraId="536733F9" w14:textId="77777777" w:rsidTr="00697387">
        <w:tc>
          <w:tcPr>
            <w:tcW w:w="0" w:type="auto"/>
            <w:shd w:val="clear" w:color="auto" w:fill="E2EFD9" w:themeFill="accent6" w:themeFillTint="33"/>
            <w:hideMark/>
          </w:tcPr>
          <w:p w14:paraId="417B26E5"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112</w:t>
            </w:r>
          </w:p>
        </w:tc>
        <w:tc>
          <w:tcPr>
            <w:tcW w:w="0" w:type="auto"/>
            <w:shd w:val="clear" w:color="auto" w:fill="E2EFD9" w:themeFill="accent6" w:themeFillTint="33"/>
            <w:hideMark/>
          </w:tcPr>
          <w:p w14:paraId="2C90041F"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Constitution et conservation d’une documentation géologique et minière ; possibilité de base numérique</w:t>
            </w:r>
          </w:p>
        </w:tc>
        <w:tc>
          <w:tcPr>
            <w:tcW w:w="0" w:type="auto"/>
            <w:shd w:val="clear" w:color="auto" w:fill="E2EFD9" w:themeFill="accent6" w:themeFillTint="33"/>
            <w:hideMark/>
          </w:tcPr>
          <w:p w14:paraId="2BFAE670"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Légalise l’accès à l’information géologique ; autorise sa digitalisation pour une divulgation structurée</w:t>
            </w:r>
          </w:p>
        </w:tc>
      </w:tr>
    </w:tbl>
    <w:p w14:paraId="3941B6C4" w14:textId="77777777" w:rsidR="008F253F" w:rsidRPr="00240C99" w:rsidRDefault="008F253F" w:rsidP="008F253F">
      <w:pPr>
        <w:spacing w:before="120"/>
        <w:rPr>
          <w:rFonts w:ascii="Kohinoor Devanagari" w:hAnsi="Kohinoor Devanagari" w:cs="Kohinoor Devanagari"/>
          <w:b/>
          <w:bCs/>
          <w:sz w:val="20"/>
          <w:szCs w:val="20"/>
        </w:rPr>
      </w:pPr>
      <w:r w:rsidRPr="00240C99">
        <w:rPr>
          <w:rFonts w:ascii="Kohinoor Devanagari" w:hAnsi="Kohinoor Devanagari" w:cs="Kohinoor Devanagari"/>
          <w:b/>
          <w:bCs/>
          <w:sz w:val="20"/>
          <w:szCs w:val="20"/>
        </w:rPr>
        <w:t>b) Contraintes ou limites à la divulgation systématique</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29"/>
        <w:gridCol w:w="4001"/>
        <w:gridCol w:w="4132"/>
      </w:tblGrid>
      <w:tr w:rsidR="00610F0B" w:rsidRPr="00240C99" w14:paraId="20A90BAF" w14:textId="77777777" w:rsidTr="006557AD">
        <w:trPr>
          <w:tblHeader/>
        </w:trPr>
        <w:tc>
          <w:tcPr>
            <w:tcW w:w="0" w:type="auto"/>
            <w:shd w:val="clear" w:color="auto" w:fill="47626F"/>
            <w:hideMark/>
          </w:tcPr>
          <w:p w14:paraId="290D58D8"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Source</w:t>
            </w:r>
          </w:p>
        </w:tc>
        <w:tc>
          <w:tcPr>
            <w:tcW w:w="0" w:type="auto"/>
            <w:shd w:val="clear" w:color="auto" w:fill="47626F"/>
            <w:hideMark/>
          </w:tcPr>
          <w:p w14:paraId="00160F91"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Limitation observée</w:t>
            </w:r>
          </w:p>
        </w:tc>
        <w:tc>
          <w:tcPr>
            <w:tcW w:w="0" w:type="auto"/>
            <w:shd w:val="clear" w:color="auto" w:fill="47626F"/>
            <w:hideMark/>
          </w:tcPr>
          <w:p w14:paraId="695FF0E2"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Implication</w:t>
            </w:r>
          </w:p>
        </w:tc>
      </w:tr>
      <w:tr w:rsidR="008F253F" w:rsidRPr="00240C99" w14:paraId="001DF15F" w14:textId="77777777" w:rsidTr="009512AF">
        <w:tc>
          <w:tcPr>
            <w:tcW w:w="0" w:type="auto"/>
            <w:hideMark/>
          </w:tcPr>
          <w:p w14:paraId="10320A2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110</w:t>
            </w:r>
          </w:p>
        </w:tc>
        <w:tc>
          <w:tcPr>
            <w:tcW w:w="0" w:type="auto"/>
            <w:hideMark/>
          </w:tcPr>
          <w:p w14:paraId="6ABD0C67"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La publication est prévue dans le Journal Officiel mais pas de format numérique standardisé</w:t>
            </w:r>
          </w:p>
        </w:tc>
        <w:tc>
          <w:tcPr>
            <w:tcW w:w="0" w:type="auto"/>
            <w:hideMark/>
          </w:tcPr>
          <w:p w14:paraId="7191C420"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Nécessité d’un appui pour l’accessibilité en ligne et l’interopérabilité avec le cadastre</w:t>
            </w:r>
          </w:p>
        </w:tc>
      </w:tr>
      <w:tr w:rsidR="008F253F" w:rsidRPr="00240C99" w14:paraId="18BDE830" w14:textId="77777777" w:rsidTr="00697387">
        <w:tc>
          <w:tcPr>
            <w:tcW w:w="0" w:type="auto"/>
            <w:shd w:val="clear" w:color="auto" w:fill="E2EFD9" w:themeFill="accent6" w:themeFillTint="33"/>
            <w:hideMark/>
          </w:tcPr>
          <w:p w14:paraId="17C172C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111</w:t>
            </w:r>
          </w:p>
        </w:tc>
        <w:tc>
          <w:tcPr>
            <w:tcW w:w="0" w:type="auto"/>
            <w:shd w:val="clear" w:color="auto" w:fill="E2EFD9" w:themeFill="accent6" w:themeFillTint="33"/>
            <w:hideMark/>
          </w:tcPr>
          <w:p w14:paraId="735DD92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La loi prévoit la communication à l’État, mais ne précise pas la publication au public</w:t>
            </w:r>
          </w:p>
        </w:tc>
        <w:tc>
          <w:tcPr>
            <w:tcW w:w="0" w:type="auto"/>
            <w:shd w:val="clear" w:color="auto" w:fill="E2EFD9" w:themeFill="accent6" w:themeFillTint="33"/>
            <w:hideMark/>
          </w:tcPr>
          <w:p w14:paraId="726145C1"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Nécessité de textes secondaires (décrets, arrêtés) pour encadrer la divulgation publique</w:t>
            </w:r>
          </w:p>
        </w:tc>
      </w:tr>
      <w:tr w:rsidR="008F253F" w:rsidRPr="00240C99" w14:paraId="651AC6F9" w14:textId="77777777" w:rsidTr="009512AF">
        <w:tc>
          <w:tcPr>
            <w:tcW w:w="0" w:type="auto"/>
            <w:hideMark/>
          </w:tcPr>
          <w:p w14:paraId="488142A4"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Art. 112</w:t>
            </w:r>
          </w:p>
        </w:tc>
        <w:tc>
          <w:tcPr>
            <w:tcW w:w="0" w:type="auto"/>
            <w:hideMark/>
          </w:tcPr>
          <w:p w14:paraId="21E6792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Documentation stockée en format physique ou non structuré</w:t>
            </w:r>
          </w:p>
        </w:tc>
        <w:tc>
          <w:tcPr>
            <w:tcW w:w="0" w:type="auto"/>
            <w:hideMark/>
          </w:tcPr>
          <w:p w14:paraId="21C386E5"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Appelle à un projet de numérisation, de structuration des métadonnées, et de portail accessible</w:t>
            </w:r>
          </w:p>
        </w:tc>
      </w:tr>
    </w:tbl>
    <w:p w14:paraId="18E65BDE" w14:textId="77777777" w:rsidR="00C774F0" w:rsidRDefault="00C774F0" w:rsidP="006557AD">
      <w:pPr>
        <w:spacing w:beforeLines="40" w:before="96" w:afterLines="40" w:after="96" w:line="240" w:lineRule="auto"/>
        <w:rPr>
          <w:rFonts w:ascii="Kohinoor Devanagari" w:hAnsi="Kohinoor Devanagari" w:cs="Kohinoor Devanagari"/>
          <w:b/>
          <w:bCs/>
          <w:sz w:val="20"/>
          <w:szCs w:val="20"/>
        </w:rPr>
      </w:pPr>
    </w:p>
    <w:p w14:paraId="50F1A4AD"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4F5018BF" w14:textId="585F0939" w:rsidR="008F253F" w:rsidRPr="00240C99" w:rsidRDefault="008F253F" w:rsidP="006557AD">
      <w:pPr>
        <w:spacing w:beforeLines="40" w:before="96" w:afterLines="40" w:after="96" w:line="240" w:lineRule="auto"/>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c) Actions suggérées pour la feuille de route</w:t>
      </w:r>
    </w:p>
    <w:p w14:paraId="4ED22C81" w14:textId="77777777" w:rsidR="008F253F" w:rsidRPr="00240C99" w:rsidRDefault="008F253F" w:rsidP="001059BE">
      <w:pPr>
        <w:numPr>
          <w:ilvl w:val="0"/>
          <w:numId w:val="102"/>
        </w:numPr>
        <w:spacing w:beforeLines="40" w:before="96" w:afterLines="40" w:after="96" w:line="240" w:lineRule="auto"/>
        <w:rPr>
          <w:rFonts w:ascii="Kohinoor Devanagari" w:hAnsi="Kohinoor Devanagari" w:cs="Kohinoor Devanagari"/>
          <w:sz w:val="20"/>
          <w:szCs w:val="20"/>
        </w:rPr>
      </w:pPr>
      <w:r w:rsidRPr="00240C99">
        <w:rPr>
          <w:rFonts w:ascii="Kohinoor Devanagari" w:hAnsi="Kohinoor Devanagari" w:cs="Kohinoor Devanagari"/>
          <w:b/>
          <w:bCs/>
          <w:sz w:val="20"/>
          <w:szCs w:val="20"/>
        </w:rPr>
        <w:t>Standardiser la divulgation des paiements</w:t>
      </w:r>
      <w:r w:rsidRPr="00240C99">
        <w:rPr>
          <w:rFonts w:ascii="Kohinoor Devanagari" w:hAnsi="Kohinoor Devanagari" w:cs="Kohinoor Devanagari"/>
          <w:sz w:val="20"/>
          <w:szCs w:val="20"/>
        </w:rPr>
        <w:t xml:space="preserve"> prévue à l’article 107 via des formats structurés (Excel, JSON) à intégrer dans le portail ITIE.</w:t>
      </w:r>
    </w:p>
    <w:p w14:paraId="700237E3" w14:textId="77777777" w:rsidR="008F253F" w:rsidRPr="00240C99" w:rsidRDefault="008F253F" w:rsidP="001059BE">
      <w:pPr>
        <w:numPr>
          <w:ilvl w:val="0"/>
          <w:numId w:val="102"/>
        </w:numPr>
        <w:spacing w:beforeLines="40" w:before="96" w:afterLines="40" w:after="96" w:line="240" w:lineRule="auto"/>
        <w:rPr>
          <w:rFonts w:ascii="Kohinoor Devanagari" w:hAnsi="Kohinoor Devanagari" w:cs="Kohinoor Devanagari"/>
          <w:sz w:val="20"/>
          <w:szCs w:val="20"/>
        </w:rPr>
      </w:pPr>
      <w:r w:rsidRPr="00240C99">
        <w:rPr>
          <w:rFonts w:ascii="Kohinoor Devanagari" w:hAnsi="Kohinoor Devanagari" w:cs="Kohinoor Devanagari"/>
          <w:b/>
          <w:bCs/>
          <w:sz w:val="20"/>
          <w:szCs w:val="20"/>
        </w:rPr>
        <w:t>Adopter un décret d’application</w:t>
      </w:r>
      <w:r w:rsidRPr="00240C99">
        <w:rPr>
          <w:rFonts w:ascii="Kohinoor Devanagari" w:hAnsi="Kohinoor Devanagari" w:cs="Kohinoor Devanagari"/>
          <w:sz w:val="20"/>
          <w:szCs w:val="20"/>
        </w:rPr>
        <w:t xml:space="preserve"> précisant les modalités de publication des informations sur la propriété réelle (Art. 111).</w:t>
      </w:r>
    </w:p>
    <w:p w14:paraId="2026F64E" w14:textId="77777777" w:rsidR="008F253F" w:rsidRPr="00240C99" w:rsidRDefault="008F253F" w:rsidP="001059BE">
      <w:pPr>
        <w:numPr>
          <w:ilvl w:val="0"/>
          <w:numId w:val="102"/>
        </w:numPr>
        <w:spacing w:beforeLines="40" w:before="96" w:afterLines="40" w:after="96" w:line="240" w:lineRule="auto"/>
        <w:rPr>
          <w:rFonts w:ascii="Kohinoor Devanagari" w:hAnsi="Kohinoor Devanagari" w:cs="Kohinoor Devanagari"/>
          <w:sz w:val="20"/>
          <w:szCs w:val="20"/>
        </w:rPr>
      </w:pPr>
      <w:r w:rsidRPr="00240C99">
        <w:rPr>
          <w:rFonts w:ascii="Kohinoor Devanagari" w:hAnsi="Kohinoor Devanagari" w:cs="Kohinoor Devanagari"/>
          <w:b/>
          <w:bCs/>
          <w:sz w:val="20"/>
          <w:szCs w:val="20"/>
        </w:rPr>
        <w:t>Intégrer les actes d’attribution publiés (Art. 110)</w:t>
      </w:r>
      <w:r w:rsidRPr="00240C99">
        <w:rPr>
          <w:rFonts w:ascii="Kohinoor Devanagari" w:hAnsi="Kohinoor Devanagari" w:cs="Kohinoor Devanagari"/>
          <w:sz w:val="20"/>
          <w:szCs w:val="20"/>
        </w:rPr>
        <w:t xml:space="preserve"> dans une base de données connectée au cadastre minier.</w:t>
      </w:r>
    </w:p>
    <w:p w14:paraId="11C3C51D" w14:textId="77777777" w:rsidR="008F253F" w:rsidRPr="00240C99" w:rsidRDefault="008F253F" w:rsidP="001059BE">
      <w:pPr>
        <w:numPr>
          <w:ilvl w:val="0"/>
          <w:numId w:val="102"/>
        </w:numPr>
        <w:spacing w:beforeLines="40" w:before="96" w:afterLines="40" w:after="96" w:line="240" w:lineRule="auto"/>
        <w:rPr>
          <w:rFonts w:ascii="Kohinoor Devanagari" w:hAnsi="Kohinoor Devanagari" w:cs="Kohinoor Devanagari"/>
          <w:sz w:val="20"/>
          <w:szCs w:val="20"/>
        </w:rPr>
      </w:pPr>
      <w:r w:rsidRPr="00240C99">
        <w:rPr>
          <w:rFonts w:ascii="Kohinoor Devanagari" w:hAnsi="Kohinoor Devanagari" w:cs="Kohinoor Devanagari"/>
          <w:b/>
          <w:bCs/>
          <w:sz w:val="20"/>
          <w:szCs w:val="20"/>
        </w:rPr>
        <w:t>Créer une base numérique consultable des documents géologiques et miniers (Art. 112)</w:t>
      </w:r>
      <w:r w:rsidRPr="00240C99">
        <w:rPr>
          <w:rFonts w:ascii="Kohinoor Devanagari" w:hAnsi="Kohinoor Devanagari" w:cs="Kohinoor Devanagari"/>
          <w:sz w:val="20"/>
          <w:szCs w:val="20"/>
        </w:rPr>
        <w:t>, avec une interface publique et filtres par type de document.</w:t>
      </w:r>
    </w:p>
    <w:p w14:paraId="1E6D948C" w14:textId="40539FF7" w:rsidR="008F253F" w:rsidRPr="00240C99" w:rsidRDefault="008F253F" w:rsidP="001059BE">
      <w:pPr>
        <w:pStyle w:val="Titre3"/>
        <w:numPr>
          <w:ilvl w:val="2"/>
          <w:numId w:val="8"/>
        </w:numPr>
        <w:spacing w:beforeLines="40" w:before="96" w:afterLines="40" w:after="96"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Code Pétrolier (Loi n°2019/008)</w:t>
      </w:r>
    </w:p>
    <w:p w14:paraId="6CE87C60" w14:textId="77777777" w:rsidR="008F253F" w:rsidRPr="00240C99" w:rsidRDefault="008F253F" w:rsidP="006557AD">
      <w:pPr>
        <w:spacing w:beforeLines="40" w:before="96" w:afterLines="40" w:after="96"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 Code pétrolier camerounais de 2019 encadre les opérations de recherche et d’exploitation des hydrocarbures à travers des contrats comportant plusieurs annexes techniques et administratives. Ce cadre juridique prévoit la transmission des données aux autorités nationales, mais impose des </w:t>
      </w:r>
      <w:r w:rsidRPr="00240C99">
        <w:rPr>
          <w:rFonts w:ascii="Kohinoor Devanagari" w:hAnsi="Kohinoor Devanagari" w:cs="Kohinoor Devanagari"/>
          <w:b/>
          <w:bCs/>
          <w:sz w:val="20"/>
          <w:szCs w:val="20"/>
        </w:rPr>
        <w:t>restrictions importantes en matière de divulgation publique</w:t>
      </w:r>
      <w:r w:rsidRPr="00240C99">
        <w:rPr>
          <w:rFonts w:ascii="Kohinoor Devanagari" w:hAnsi="Kohinoor Devanagari" w:cs="Kohinoor Devanagari"/>
          <w:sz w:val="20"/>
          <w:szCs w:val="20"/>
        </w:rPr>
        <w:t xml:space="preserve">, notamment via des dispositions de confidentialité. En l’état, </w:t>
      </w:r>
      <w:r w:rsidRPr="00240C99">
        <w:rPr>
          <w:rFonts w:ascii="Kohinoor Devanagari" w:hAnsi="Kohinoor Devanagari" w:cs="Kohinoor Devanagari"/>
          <w:b/>
          <w:bCs/>
          <w:sz w:val="20"/>
          <w:szCs w:val="20"/>
        </w:rPr>
        <w:t>le Code ne fait pas référence à l’ITIE</w:t>
      </w:r>
      <w:r w:rsidRPr="00240C99">
        <w:rPr>
          <w:rFonts w:ascii="Kohinoor Devanagari" w:hAnsi="Kohinoor Devanagari" w:cs="Kohinoor Devanagari"/>
          <w:sz w:val="20"/>
          <w:szCs w:val="20"/>
        </w:rPr>
        <w:t xml:space="preserve"> et </w:t>
      </w:r>
      <w:r w:rsidRPr="00240C99">
        <w:rPr>
          <w:rFonts w:ascii="Kohinoor Devanagari" w:hAnsi="Kohinoor Devanagari" w:cs="Kohinoor Devanagari"/>
          <w:b/>
          <w:bCs/>
          <w:sz w:val="20"/>
          <w:szCs w:val="20"/>
        </w:rPr>
        <w:t>ne prévoit pas d’obligation explicite de publication proactive</w:t>
      </w:r>
      <w:r w:rsidRPr="00240C99">
        <w:rPr>
          <w:rFonts w:ascii="Kohinoor Devanagari" w:hAnsi="Kohinoor Devanagari" w:cs="Kohinoor Devanagari"/>
          <w:sz w:val="20"/>
          <w:szCs w:val="20"/>
        </w:rPr>
        <w:t>, ce qui constitue un obstacle majeur à la divulgation systématique des données.</w:t>
      </w:r>
    </w:p>
    <w:p w14:paraId="2DF84D96" w14:textId="77777777" w:rsidR="008F253F" w:rsidRPr="00240C99" w:rsidRDefault="008F253F" w:rsidP="008F253F">
      <w:pPr>
        <w:rPr>
          <w:rFonts w:ascii="Kohinoor Devanagari" w:hAnsi="Kohinoor Devanagari" w:cs="Kohinoor Devanagari"/>
          <w:b/>
          <w:bCs/>
          <w:sz w:val="20"/>
          <w:szCs w:val="20"/>
        </w:rPr>
      </w:pPr>
      <w:r w:rsidRPr="00240C99">
        <w:rPr>
          <w:rFonts w:ascii="Kohinoor Devanagari" w:hAnsi="Kohinoor Devanagari" w:cs="Kohinoor Devanagari"/>
          <w:b/>
          <w:bCs/>
          <w:sz w:val="20"/>
          <w:szCs w:val="20"/>
        </w:rPr>
        <w:t>a) Opportunités pour la divulgation systématique (mise à jour)</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1905"/>
        <w:gridCol w:w="3492"/>
        <w:gridCol w:w="3665"/>
      </w:tblGrid>
      <w:tr w:rsidR="00610F0B" w:rsidRPr="00240C99" w14:paraId="567FFC15" w14:textId="77777777" w:rsidTr="006557AD">
        <w:trPr>
          <w:tblHeader/>
        </w:trPr>
        <w:tc>
          <w:tcPr>
            <w:tcW w:w="0" w:type="auto"/>
            <w:shd w:val="clear" w:color="auto" w:fill="47626F"/>
            <w:hideMark/>
          </w:tcPr>
          <w:p w14:paraId="29C53DBF"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Référence</w:t>
            </w:r>
          </w:p>
        </w:tc>
        <w:tc>
          <w:tcPr>
            <w:tcW w:w="0" w:type="auto"/>
            <w:shd w:val="clear" w:color="auto" w:fill="47626F"/>
            <w:hideMark/>
          </w:tcPr>
          <w:p w14:paraId="0EDEA274"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Contenu</w:t>
            </w:r>
          </w:p>
        </w:tc>
        <w:tc>
          <w:tcPr>
            <w:tcW w:w="0" w:type="auto"/>
            <w:shd w:val="clear" w:color="auto" w:fill="47626F"/>
            <w:hideMark/>
          </w:tcPr>
          <w:p w14:paraId="0E0AFC5C"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Opportunité pour la divulgation systématique</w:t>
            </w:r>
          </w:p>
        </w:tc>
      </w:tr>
      <w:tr w:rsidR="008F253F" w:rsidRPr="00240C99" w14:paraId="74C0405F" w14:textId="77777777" w:rsidTr="009512AF">
        <w:tc>
          <w:tcPr>
            <w:tcW w:w="0" w:type="auto"/>
            <w:hideMark/>
          </w:tcPr>
          <w:p w14:paraId="06F6A758" w14:textId="77777777" w:rsidR="008F253F" w:rsidRPr="00240C99" w:rsidRDefault="008F253F" w:rsidP="006557AD">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Art. 97 (1) Code Pétrolier</w:t>
            </w:r>
          </w:p>
        </w:tc>
        <w:tc>
          <w:tcPr>
            <w:tcW w:w="0" w:type="auto"/>
            <w:hideMark/>
          </w:tcPr>
          <w:p w14:paraId="3F7E9C2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transmission sous 30 jours des données générées par les opérations pétrolières (rapports, mesures, échantillons, etc.)</w:t>
            </w:r>
          </w:p>
        </w:tc>
        <w:tc>
          <w:tcPr>
            <w:tcW w:w="0" w:type="auto"/>
            <w:hideMark/>
          </w:tcPr>
          <w:p w14:paraId="7739856B"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Base juridique pour la centralisation rapide des données auprès des autorités publiques</w:t>
            </w:r>
          </w:p>
        </w:tc>
      </w:tr>
      <w:tr w:rsidR="008F253F" w:rsidRPr="00240C99" w14:paraId="76415788" w14:textId="77777777" w:rsidTr="00697387">
        <w:tc>
          <w:tcPr>
            <w:tcW w:w="0" w:type="auto"/>
            <w:shd w:val="clear" w:color="auto" w:fill="E2EFD9" w:themeFill="accent6" w:themeFillTint="33"/>
            <w:hideMark/>
          </w:tcPr>
          <w:p w14:paraId="0E7268F0" w14:textId="77777777" w:rsidR="008F253F" w:rsidRPr="00240C99" w:rsidRDefault="008F253F" w:rsidP="006557AD">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Art. 97 (2)</w:t>
            </w:r>
          </w:p>
        </w:tc>
        <w:tc>
          <w:tcPr>
            <w:tcW w:w="0" w:type="auto"/>
            <w:shd w:val="clear" w:color="auto" w:fill="E2EFD9" w:themeFill="accent6" w:themeFillTint="33"/>
            <w:hideMark/>
          </w:tcPr>
          <w:p w14:paraId="56306C5E"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Reconnaissance que toutes les données issues des opérations pétrolières sont propriété de l’État</w:t>
            </w:r>
          </w:p>
        </w:tc>
        <w:tc>
          <w:tcPr>
            <w:tcW w:w="0" w:type="auto"/>
            <w:shd w:val="clear" w:color="auto" w:fill="E2EFD9" w:themeFill="accent6" w:themeFillTint="33"/>
            <w:hideMark/>
          </w:tcPr>
          <w:p w14:paraId="1ABA404C"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Autorise en théorie leur diffusion, sous réserve de modalités à préciser</w:t>
            </w:r>
          </w:p>
        </w:tc>
      </w:tr>
      <w:tr w:rsidR="008F253F" w:rsidRPr="00240C99" w14:paraId="1B3B4DE0" w14:textId="77777777" w:rsidTr="009512AF">
        <w:tc>
          <w:tcPr>
            <w:tcW w:w="0" w:type="auto"/>
            <w:hideMark/>
          </w:tcPr>
          <w:p w14:paraId="43C7F7E3" w14:textId="77777777" w:rsidR="008F253F" w:rsidRPr="00240C99" w:rsidRDefault="008F253F" w:rsidP="006557AD">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Art. 141 Décret n°2023/232</w:t>
            </w:r>
          </w:p>
        </w:tc>
        <w:tc>
          <w:tcPr>
            <w:tcW w:w="0" w:type="auto"/>
            <w:hideMark/>
          </w:tcPr>
          <w:p w14:paraId="697DA67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Possibilité de déroger à la confidentialité lorsque la législation ou la réglementation impose la divulgation</w:t>
            </w:r>
          </w:p>
        </w:tc>
        <w:tc>
          <w:tcPr>
            <w:tcW w:w="0" w:type="auto"/>
            <w:hideMark/>
          </w:tcPr>
          <w:p w14:paraId="14690040"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Permet d’aligner les pratiques nationales avec la Norme ITIE 2023 ou d'autres normes internationales</w:t>
            </w:r>
          </w:p>
        </w:tc>
      </w:tr>
      <w:tr w:rsidR="008F253F" w:rsidRPr="00240C99" w14:paraId="71707C32" w14:textId="77777777" w:rsidTr="00697387">
        <w:tc>
          <w:tcPr>
            <w:tcW w:w="0" w:type="auto"/>
            <w:shd w:val="clear" w:color="auto" w:fill="E2EFD9" w:themeFill="accent6" w:themeFillTint="33"/>
            <w:hideMark/>
          </w:tcPr>
          <w:p w14:paraId="4D274DCF" w14:textId="77777777" w:rsidR="008F253F" w:rsidRPr="00240C99" w:rsidRDefault="008F253F" w:rsidP="006557AD">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Loi n°2018/011 (Code de transparence)</w:t>
            </w:r>
          </w:p>
        </w:tc>
        <w:tc>
          <w:tcPr>
            <w:tcW w:w="0" w:type="auto"/>
            <w:shd w:val="clear" w:color="auto" w:fill="E2EFD9" w:themeFill="accent6" w:themeFillTint="33"/>
            <w:hideMark/>
          </w:tcPr>
          <w:p w14:paraId="77E0EA51"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Obligation de publier les contrats, conventions et engagements budgétaires liés aux ressources naturelles, sauf clause expresse de confidentialité</w:t>
            </w:r>
          </w:p>
        </w:tc>
        <w:tc>
          <w:tcPr>
            <w:tcW w:w="0" w:type="auto"/>
            <w:shd w:val="clear" w:color="auto" w:fill="E2EFD9" w:themeFill="accent6" w:themeFillTint="33"/>
            <w:hideMark/>
          </w:tcPr>
          <w:p w14:paraId="0A8A29C1"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 xml:space="preserve">Base transversale pour </w:t>
            </w:r>
            <w:r w:rsidRPr="00240C99">
              <w:rPr>
                <w:rFonts w:ascii="Kohinoor Devanagari" w:hAnsi="Kohinoor Devanagari" w:cs="Kohinoor Devanagari"/>
                <w:b/>
                <w:bCs/>
                <w:sz w:val="20"/>
                <w:szCs w:val="20"/>
              </w:rPr>
              <w:t>imposer la divulgation proactive des contrats pétroliers et des flux extractifs</w:t>
            </w:r>
            <w:r w:rsidRPr="00240C99">
              <w:rPr>
                <w:rFonts w:ascii="Kohinoor Devanagari" w:hAnsi="Kohinoor Devanagari" w:cs="Kohinoor Devanagari"/>
                <w:sz w:val="20"/>
                <w:szCs w:val="20"/>
              </w:rPr>
              <w:t xml:space="preserve">, y compris dans un contexte </w:t>
            </w:r>
            <w:r w:rsidRPr="00240C99">
              <w:rPr>
                <w:rFonts w:ascii="Kohinoor Devanagari" w:hAnsi="Kohinoor Devanagari" w:cs="Kohinoor Devanagari"/>
                <w:sz w:val="20"/>
                <w:szCs w:val="20"/>
              </w:rPr>
              <w:lastRenderedPageBreak/>
              <w:t>d’absence de transparence sectorielle</w:t>
            </w:r>
          </w:p>
        </w:tc>
      </w:tr>
    </w:tbl>
    <w:p w14:paraId="03597504" w14:textId="77777777" w:rsidR="008F253F" w:rsidRPr="00240C99" w:rsidRDefault="008F253F" w:rsidP="00610F0B">
      <w:pPr>
        <w:spacing w:before="120"/>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b) Contraintes ou limites à la divulgation systématique</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263"/>
        <w:gridCol w:w="3735"/>
        <w:gridCol w:w="3064"/>
      </w:tblGrid>
      <w:tr w:rsidR="00610F0B" w:rsidRPr="00240C99" w14:paraId="5362F3AE" w14:textId="77777777" w:rsidTr="00BA7F56">
        <w:trPr>
          <w:tblHeader/>
        </w:trPr>
        <w:tc>
          <w:tcPr>
            <w:tcW w:w="0" w:type="auto"/>
            <w:shd w:val="clear" w:color="auto" w:fill="47626F"/>
            <w:hideMark/>
          </w:tcPr>
          <w:p w14:paraId="19EACED5"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Source</w:t>
            </w:r>
          </w:p>
        </w:tc>
        <w:tc>
          <w:tcPr>
            <w:tcW w:w="0" w:type="auto"/>
            <w:shd w:val="clear" w:color="auto" w:fill="47626F"/>
            <w:hideMark/>
          </w:tcPr>
          <w:p w14:paraId="600D7394"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Limitation observée</w:t>
            </w:r>
          </w:p>
        </w:tc>
        <w:tc>
          <w:tcPr>
            <w:tcW w:w="0" w:type="auto"/>
            <w:shd w:val="clear" w:color="auto" w:fill="47626F"/>
            <w:hideMark/>
          </w:tcPr>
          <w:p w14:paraId="7F17E96D"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Implication</w:t>
            </w:r>
          </w:p>
        </w:tc>
      </w:tr>
      <w:tr w:rsidR="008F253F" w:rsidRPr="00240C99" w14:paraId="097B9F03" w14:textId="77777777" w:rsidTr="009512AF">
        <w:tc>
          <w:tcPr>
            <w:tcW w:w="0" w:type="auto"/>
            <w:hideMark/>
          </w:tcPr>
          <w:p w14:paraId="162B486F"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Art. 25 du modèle de CPP</w:t>
            </w:r>
          </w:p>
        </w:tc>
        <w:tc>
          <w:tcPr>
            <w:tcW w:w="0" w:type="auto"/>
            <w:hideMark/>
          </w:tcPr>
          <w:p w14:paraId="15868539"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Confidentialité du contrat, de ses annexes et des données contractuelles, jusqu’à expiration du contrat</w:t>
            </w:r>
          </w:p>
        </w:tc>
        <w:tc>
          <w:tcPr>
            <w:tcW w:w="0" w:type="auto"/>
            <w:hideMark/>
          </w:tcPr>
          <w:p w14:paraId="64B18657"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Freine toute publication des contrats ou de leurs annexes sans levée contractuelle explicite</w:t>
            </w:r>
          </w:p>
        </w:tc>
      </w:tr>
      <w:tr w:rsidR="008F253F" w:rsidRPr="00240C99" w14:paraId="5CB3308E" w14:textId="77777777" w:rsidTr="00697387">
        <w:tc>
          <w:tcPr>
            <w:tcW w:w="0" w:type="auto"/>
            <w:shd w:val="clear" w:color="auto" w:fill="E2EFD9" w:themeFill="accent6" w:themeFillTint="33"/>
            <w:hideMark/>
          </w:tcPr>
          <w:p w14:paraId="668FDCAD"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Art. 140 et 143 du Décret n°2023/232</w:t>
            </w:r>
          </w:p>
        </w:tc>
        <w:tc>
          <w:tcPr>
            <w:tcW w:w="0" w:type="auto"/>
            <w:shd w:val="clear" w:color="auto" w:fill="E2EFD9" w:themeFill="accent6" w:themeFillTint="33"/>
            <w:hideMark/>
          </w:tcPr>
          <w:p w14:paraId="3811C79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Confidentialité prolongée des données techniques et opérationnelles jusqu’à la restitution du périmètre ou expiration d’un délai</w:t>
            </w:r>
          </w:p>
        </w:tc>
        <w:tc>
          <w:tcPr>
            <w:tcW w:w="0" w:type="auto"/>
            <w:shd w:val="clear" w:color="auto" w:fill="E2EFD9" w:themeFill="accent6" w:themeFillTint="33"/>
            <w:hideMark/>
          </w:tcPr>
          <w:p w14:paraId="1D22D788"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Restreint la divulgation anticipée des données clés pour le suivi citoyen et budgétaire</w:t>
            </w:r>
          </w:p>
        </w:tc>
      </w:tr>
      <w:tr w:rsidR="008F253F" w:rsidRPr="00240C99" w14:paraId="3FC9E69A" w14:textId="77777777" w:rsidTr="009512AF">
        <w:tc>
          <w:tcPr>
            <w:tcW w:w="0" w:type="auto"/>
            <w:hideMark/>
          </w:tcPr>
          <w:p w14:paraId="615AA19C"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Absence de référence explicite à l’ITIE ou à la propriété réelle</w:t>
            </w:r>
          </w:p>
        </w:tc>
        <w:tc>
          <w:tcPr>
            <w:tcW w:w="0" w:type="auto"/>
            <w:hideMark/>
          </w:tcPr>
          <w:p w14:paraId="6CF6B855"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Le Code pétrolier ne prévoit ni la divulgation proactive des paiements, ni celle des bénéficiaires effectifs</w:t>
            </w:r>
          </w:p>
        </w:tc>
        <w:tc>
          <w:tcPr>
            <w:tcW w:w="0" w:type="auto"/>
            <w:hideMark/>
          </w:tcPr>
          <w:p w14:paraId="500A8CD7"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Nécessite une réforme réglementaire ou une interprétation renforcée par des textes transversaux</w:t>
            </w:r>
          </w:p>
        </w:tc>
      </w:tr>
    </w:tbl>
    <w:p w14:paraId="0AA5809A" w14:textId="77777777" w:rsidR="008F253F" w:rsidRPr="00240C99" w:rsidRDefault="008F253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c) Recommandations</w:t>
      </w:r>
    </w:p>
    <w:p w14:paraId="0A433D76" w14:textId="77777777" w:rsidR="008F253F" w:rsidRPr="00240C99" w:rsidRDefault="008F253F" w:rsidP="001059BE">
      <w:pPr>
        <w:numPr>
          <w:ilvl w:val="0"/>
          <w:numId w:val="10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Mettre à jour le modèle de CPP pour intégrer une clause de divulgation, conformément à la Norme ITIE 2023 et aux bonnes pratiques contractuelles.</w:t>
      </w:r>
    </w:p>
    <w:p w14:paraId="50997D1B" w14:textId="77777777" w:rsidR="008F253F" w:rsidRPr="00240C99" w:rsidRDefault="008F253F" w:rsidP="001059BE">
      <w:pPr>
        <w:numPr>
          <w:ilvl w:val="0"/>
          <w:numId w:val="10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Élaborer un texte réglementaire spécifique (décret ou circulaire) définissant clairement les catégories de données à divulguer, la durée maximale de confidentialité, les formats (CSV, JSON, XML) et les responsabilités institutionnelles.</w:t>
      </w:r>
    </w:p>
    <w:p w14:paraId="2B615937" w14:textId="77777777" w:rsidR="008F253F" w:rsidRPr="00240C99" w:rsidRDefault="008F253F" w:rsidP="001059BE">
      <w:pPr>
        <w:numPr>
          <w:ilvl w:val="0"/>
          <w:numId w:val="10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Mobiliser l’article 141 du Décret n°2023/232 pour autoriser la divulgation lorsque la législation nationale (notamment la Loi n°2018/011) l’exige, y compris pour la publication des contrats.</w:t>
      </w:r>
    </w:p>
    <w:p w14:paraId="50A855BE" w14:textId="77777777" w:rsidR="008F253F" w:rsidRPr="00240C99" w:rsidRDefault="008F253F" w:rsidP="001059BE">
      <w:pPr>
        <w:numPr>
          <w:ilvl w:val="0"/>
          <w:numId w:val="10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Appliquer systématiquement la Loi n°2018/011 comme fondement légal transversal de la transparence dans le secteur extractif, en l’absence de clauses contraires spécifiques dans le Code pétrolier.</w:t>
      </w:r>
    </w:p>
    <w:p w14:paraId="775A867D" w14:textId="7CCFE839" w:rsidR="008F253F" w:rsidRPr="00240C99" w:rsidRDefault="008F253F" w:rsidP="001059BE">
      <w:pPr>
        <w:numPr>
          <w:ilvl w:val="0"/>
          <w:numId w:val="10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Créer une base de données publique interopérable, regroupant les contrats, volumes de production, recettes fiscales, données sociales et environnementales, connectée aux plateformes du MINEE, du MINFI et au portail ITIE.</w:t>
      </w:r>
    </w:p>
    <w:p w14:paraId="66E66C3C" w14:textId="08948F71" w:rsidR="008F253F" w:rsidRPr="00240C99" w:rsidRDefault="008F253F"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 xml:space="preserve">Législation environnementale </w:t>
      </w:r>
    </w:p>
    <w:p w14:paraId="30D31955" w14:textId="77777777" w:rsidR="008F253F" w:rsidRPr="00240C99" w:rsidRDefault="008F253F"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La gouvernance environnementale au Cameroun repose sur un cadre juridique relativement complet, articulé autour de la Loi n°96/12 du 5 août 1996, de plusieurs décrets d’application, et d’arrêtés techniques sectoriels. Toutefois, malgré l’existence de procédures d’évaluation et de suivi environnemental, la transparence des données et documents issus de ces processus demeure limitée, en contradiction avec les exigences de la Norme ITIE 2023 (exigence 6.4).</w:t>
      </w:r>
    </w:p>
    <w:p w14:paraId="2D7F9C0F" w14:textId="77777777" w:rsidR="008F253F" w:rsidRPr="00240C99" w:rsidRDefault="008F253F" w:rsidP="00697387">
      <w:pPr>
        <w:spacing w:before="120" w:after="120" w:line="240" w:lineRule="auto"/>
        <w:rPr>
          <w:rFonts w:ascii="Kohinoor Devanagari" w:hAnsi="Kohinoor Devanagari" w:cs="Kohinoor Devanagari"/>
          <w:b/>
          <w:bCs/>
          <w:sz w:val="20"/>
          <w:szCs w:val="20"/>
        </w:rPr>
      </w:pPr>
      <w:r w:rsidRPr="00240C99">
        <w:rPr>
          <w:rFonts w:ascii="Kohinoor Devanagari" w:hAnsi="Kohinoor Devanagari" w:cs="Kohinoor Devanagari"/>
          <w:b/>
          <w:bCs/>
          <w:sz w:val="20"/>
          <w:szCs w:val="20"/>
        </w:rPr>
        <w:t>a) Références légales et réglementaires</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334"/>
        <w:gridCol w:w="3030"/>
        <w:gridCol w:w="3698"/>
      </w:tblGrid>
      <w:tr w:rsidR="00BA7F56" w:rsidRPr="00240C99" w14:paraId="4D56B3DF" w14:textId="77777777" w:rsidTr="00BA7F56">
        <w:trPr>
          <w:tblHeader/>
        </w:trPr>
        <w:tc>
          <w:tcPr>
            <w:tcW w:w="0" w:type="auto"/>
            <w:shd w:val="clear" w:color="auto" w:fill="47626F"/>
            <w:hideMark/>
          </w:tcPr>
          <w:p w14:paraId="1392BE8C"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Texte</w:t>
            </w:r>
          </w:p>
        </w:tc>
        <w:tc>
          <w:tcPr>
            <w:tcW w:w="0" w:type="auto"/>
            <w:shd w:val="clear" w:color="auto" w:fill="47626F"/>
            <w:hideMark/>
          </w:tcPr>
          <w:p w14:paraId="7FA4C531"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Objet</w:t>
            </w:r>
          </w:p>
        </w:tc>
        <w:tc>
          <w:tcPr>
            <w:tcW w:w="0" w:type="auto"/>
            <w:shd w:val="clear" w:color="auto" w:fill="47626F"/>
            <w:hideMark/>
          </w:tcPr>
          <w:p w14:paraId="6F2DDBD0" w14:textId="77777777" w:rsidR="008F253F" w:rsidRPr="00240C99" w:rsidRDefault="008F253F" w:rsidP="006557AD">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Application au secteur extractif</w:t>
            </w:r>
          </w:p>
        </w:tc>
      </w:tr>
      <w:tr w:rsidR="008F253F" w:rsidRPr="00240C99" w14:paraId="65468EF7" w14:textId="77777777" w:rsidTr="009512AF">
        <w:tc>
          <w:tcPr>
            <w:tcW w:w="0" w:type="auto"/>
            <w:hideMark/>
          </w:tcPr>
          <w:p w14:paraId="123F4EDA"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Loi n°96/12 du 5 août 1996</w:t>
            </w:r>
          </w:p>
        </w:tc>
        <w:tc>
          <w:tcPr>
            <w:tcW w:w="0" w:type="auto"/>
            <w:hideMark/>
          </w:tcPr>
          <w:p w14:paraId="21C0B6B2"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Loi-cadre sur l’environnement</w:t>
            </w:r>
          </w:p>
        </w:tc>
        <w:tc>
          <w:tcPr>
            <w:tcW w:w="0" w:type="auto"/>
            <w:hideMark/>
          </w:tcPr>
          <w:p w14:paraId="792D98A9"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Rend obligatoire l’évaluation d’impact environnemental (EIE) avant tout projet à risque significatif</w:t>
            </w:r>
          </w:p>
        </w:tc>
      </w:tr>
      <w:tr w:rsidR="008F253F" w:rsidRPr="00240C99" w14:paraId="72FCB149" w14:textId="77777777" w:rsidTr="00697387">
        <w:tc>
          <w:tcPr>
            <w:tcW w:w="0" w:type="auto"/>
            <w:shd w:val="clear" w:color="auto" w:fill="E2EFD9" w:themeFill="accent6" w:themeFillTint="33"/>
            <w:hideMark/>
          </w:tcPr>
          <w:p w14:paraId="5EE7986F"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Décret n°2013/171/PM du 14 février 2013</w:t>
            </w:r>
          </w:p>
        </w:tc>
        <w:tc>
          <w:tcPr>
            <w:tcW w:w="0" w:type="auto"/>
            <w:shd w:val="clear" w:color="auto" w:fill="E2EFD9" w:themeFill="accent6" w:themeFillTint="33"/>
            <w:hideMark/>
          </w:tcPr>
          <w:p w14:paraId="75CFBA14"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Modalités de réalisation des EIE et des consultations publiques</w:t>
            </w:r>
          </w:p>
        </w:tc>
        <w:tc>
          <w:tcPr>
            <w:tcW w:w="0" w:type="auto"/>
            <w:shd w:val="clear" w:color="auto" w:fill="E2EFD9" w:themeFill="accent6" w:themeFillTint="33"/>
            <w:hideMark/>
          </w:tcPr>
          <w:p w14:paraId="3D2296B7"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Précise les étapes d’élaboration, de dépôt, d’examen et de validation des EIE</w:t>
            </w:r>
          </w:p>
        </w:tc>
      </w:tr>
      <w:tr w:rsidR="008F253F" w:rsidRPr="00240C99" w14:paraId="0357E3EC" w14:textId="77777777" w:rsidTr="009512AF">
        <w:tc>
          <w:tcPr>
            <w:tcW w:w="0" w:type="auto"/>
            <w:hideMark/>
          </w:tcPr>
          <w:p w14:paraId="632A304F"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Décret n°2013/172/PM du 14 février 2013</w:t>
            </w:r>
          </w:p>
        </w:tc>
        <w:tc>
          <w:tcPr>
            <w:tcW w:w="0" w:type="auto"/>
            <w:hideMark/>
          </w:tcPr>
          <w:p w14:paraId="648C2B07"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Réglementation des audits environnementaux (AES)</w:t>
            </w:r>
          </w:p>
        </w:tc>
        <w:tc>
          <w:tcPr>
            <w:tcW w:w="0" w:type="auto"/>
            <w:hideMark/>
          </w:tcPr>
          <w:p w14:paraId="705B8DB2"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Introduit un mécanisme périodique de contrôle environnemental post-approbation</w:t>
            </w:r>
          </w:p>
        </w:tc>
      </w:tr>
      <w:tr w:rsidR="008F253F" w:rsidRPr="00240C99" w14:paraId="0A49BBA1" w14:textId="77777777" w:rsidTr="00697387">
        <w:tc>
          <w:tcPr>
            <w:tcW w:w="0" w:type="auto"/>
            <w:shd w:val="clear" w:color="auto" w:fill="E2EFD9" w:themeFill="accent6" w:themeFillTint="33"/>
            <w:hideMark/>
          </w:tcPr>
          <w:p w14:paraId="5DCF8AC2"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b/>
                <w:bCs/>
                <w:sz w:val="20"/>
                <w:szCs w:val="20"/>
              </w:rPr>
              <w:t>Arrêté n°0070/MINEP du 22 avril 2005</w:t>
            </w:r>
          </w:p>
        </w:tc>
        <w:tc>
          <w:tcPr>
            <w:tcW w:w="0" w:type="auto"/>
            <w:shd w:val="clear" w:color="auto" w:fill="E2EFD9" w:themeFill="accent6" w:themeFillTint="33"/>
            <w:hideMark/>
          </w:tcPr>
          <w:p w14:paraId="7E0B0CE3"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Liste des opérations soumises à EIE</w:t>
            </w:r>
          </w:p>
        </w:tc>
        <w:tc>
          <w:tcPr>
            <w:tcW w:w="0" w:type="auto"/>
            <w:shd w:val="clear" w:color="auto" w:fill="E2EFD9" w:themeFill="accent6" w:themeFillTint="33"/>
            <w:hideMark/>
          </w:tcPr>
          <w:p w14:paraId="08FA6D8F" w14:textId="77777777" w:rsidR="008F253F" w:rsidRPr="00240C99" w:rsidRDefault="008F253F" w:rsidP="006557AD">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Couvre explicitement les activités minières et pétrolières industrielles</w:t>
            </w:r>
          </w:p>
        </w:tc>
      </w:tr>
    </w:tbl>
    <w:p w14:paraId="49AFB733" w14:textId="77777777" w:rsidR="008F253F" w:rsidRPr="00240C99" w:rsidRDefault="008F253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b) Obligations environnementales des projets extractifs</w:t>
      </w:r>
    </w:p>
    <w:p w14:paraId="751403B4" w14:textId="77777777" w:rsidR="008F253F" w:rsidRPr="00240C99" w:rsidRDefault="008F253F"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Tout projet extractif industriel doit, en principe :</w:t>
      </w:r>
    </w:p>
    <w:p w14:paraId="1BDF0AFA" w14:textId="77777777" w:rsidR="008F253F" w:rsidRPr="00240C99" w:rsidRDefault="008F253F" w:rsidP="001059BE">
      <w:pPr>
        <w:numPr>
          <w:ilvl w:val="0"/>
          <w:numId w:val="10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Réaliser une </w:t>
      </w:r>
      <w:r w:rsidRPr="00240C99">
        <w:rPr>
          <w:rFonts w:ascii="Kohinoor Devanagari" w:hAnsi="Kohinoor Devanagari" w:cs="Kohinoor Devanagari"/>
          <w:b/>
          <w:bCs/>
          <w:sz w:val="20"/>
          <w:szCs w:val="20"/>
        </w:rPr>
        <w:t>Étude d’Impact Environnemental et Social (EIES)</w:t>
      </w:r>
      <w:r w:rsidRPr="00240C99">
        <w:rPr>
          <w:rFonts w:ascii="Kohinoor Devanagari" w:hAnsi="Kohinoor Devanagari" w:cs="Kohinoor Devanagari"/>
          <w:sz w:val="20"/>
          <w:szCs w:val="20"/>
        </w:rPr>
        <w:t xml:space="preserve"> avant démarrage des travaux ;</w:t>
      </w:r>
    </w:p>
    <w:p w14:paraId="56B4D297" w14:textId="77777777" w:rsidR="008F253F" w:rsidRPr="00240C99" w:rsidRDefault="008F253F" w:rsidP="001059BE">
      <w:pPr>
        <w:numPr>
          <w:ilvl w:val="0"/>
          <w:numId w:val="10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Organiser des </w:t>
      </w:r>
      <w:r w:rsidRPr="00240C99">
        <w:rPr>
          <w:rFonts w:ascii="Kohinoor Devanagari" w:hAnsi="Kohinoor Devanagari" w:cs="Kohinoor Devanagari"/>
          <w:b/>
          <w:bCs/>
          <w:sz w:val="20"/>
          <w:szCs w:val="20"/>
        </w:rPr>
        <w:t>audiences publiques</w:t>
      </w:r>
      <w:r w:rsidRPr="00240C99">
        <w:rPr>
          <w:rFonts w:ascii="Kohinoor Devanagari" w:hAnsi="Kohinoor Devanagari" w:cs="Kohinoor Devanagari"/>
          <w:sz w:val="20"/>
          <w:szCs w:val="20"/>
        </w:rPr>
        <w:t xml:space="preserve"> avec les communautés affectées, documentées dans des rapports ;</w:t>
      </w:r>
    </w:p>
    <w:p w14:paraId="71FFC66A" w14:textId="77777777" w:rsidR="008F253F" w:rsidRPr="00240C99" w:rsidRDefault="008F253F" w:rsidP="001059BE">
      <w:pPr>
        <w:numPr>
          <w:ilvl w:val="0"/>
          <w:numId w:val="10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Obtenir un </w:t>
      </w:r>
      <w:r w:rsidRPr="00240C99">
        <w:rPr>
          <w:rFonts w:ascii="Kohinoor Devanagari" w:hAnsi="Kohinoor Devanagari" w:cs="Kohinoor Devanagari"/>
          <w:b/>
          <w:bCs/>
          <w:sz w:val="20"/>
          <w:szCs w:val="20"/>
        </w:rPr>
        <w:t>Certificat de Conformité Environnementale (CCE)</w:t>
      </w:r>
      <w:r w:rsidRPr="00240C99">
        <w:rPr>
          <w:rFonts w:ascii="Kohinoor Devanagari" w:hAnsi="Kohinoor Devanagari" w:cs="Kohinoor Devanagari"/>
          <w:sz w:val="20"/>
          <w:szCs w:val="20"/>
        </w:rPr>
        <w:t xml:space="preserve"> délivré par le MINEPDED ;</w:t>
      </w:r>
    </w:p>
    <w:p w14:paraId="7C6BCF5C" w14:textId="77777777" w:rsidR="008F253F" w:rsidRPr="00240C99" w:rsidRDefault="008F253F" w:rsidP="001059BE">
      <w:pPr>
        <w:numPr>
          <w:ilvl w:val="0"/>
          <w:numId w:val="10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Soumettre régulièrement des </w:t>
      </w:r>
      <w:r w:rsidRPr="00240C99">
        <w:rPr>
          <w:rFonts w:ascii="Kohinoor Devanagari" w:hAnsi="Kohinoor Devanagari" w:cs="Kohinoor Devanagari"/>
          <w:b/>
          <w:bCs/>
          <w:sz w:val="20"/>
          <w:szCs w:val="20"/>
        </w:rPr>
        <w:t>Audits Environnementaux et Sociaux (AES)</w:t>
      </w:r>
      <w:r w:rsidRPr="00240C99">
        <w:rPr>
          <w:rFonts w:ascii="Kohinoor Devanagari" w:hAnsi="Kohinoor Devanagari" w:cs="Kohinoor Devanagari"/>
          <w:sz w:val="20"/>
          <w:szCs w:val="20"/>
        </w:rPr>
        <w:t xml:space="preserve"> en phase d’exploitation.</w:t>
      </w:r>
    </w:p>
    <w:p w14:paraId="095224E8"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4EFEEA31" w14:textId="614759F0" w:rsidR="008F253F" w:rsidRPr="00240C99" w:rsidRDefault="008F253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c) Limites actuelles en matière de divulgation</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3370"/>
        <w:gridCol w:w="2539"/>
        <w:gridCol w:w="3153"/>
      </w:tblGrid>
      <w:tr w:rsidR="00BA7F56" w:rsidRPr="00240C99" w14:paraId="3EE248C1" w14:textId="77777777" w:rsidTr="00BA7F56">
        <w:trPr>
          <w:tblHeader/>
        </w:trPr>
        <w:tc>
          <w:tcPr>
            <w:tcW w:w="0" w:type="auto"/>
            <w:shd w:val="clear" w:color="auto" w:fill="47626F"/>
            <w:hideMark/>
          </w:tcPr>
          <w:p w14:paraId="246B37B0" w14:textId="77777777" w:rsidR="008F253F" w:rsidRPr="00240C99" w:rsidRDefault="008F253F" w:rsidP="00697387">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Document</w:t>
            </w:r>
          </w:p>
        </w:tc>
        <w:tc>
          <w:tcPr>
            <w:tcW w:w="0" w:type="auto"/>
            <w:shd w:val="clear" w:color="auto" w:fill="47626F"/>
            <w:hideMark/>
          </w:tcPr>
          <w:p w14:paraId="40442544" w14:textId="77777777" w:rsidR="008F253F" w:rsidRPr="00240C99" w:rsidRDefault="008F253F" w:rsidP="00697387">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Statut de transparence</w:t>
            </w:r>
          </w:p>
        </w:tc>
        <w:tc>
          <w:tcPr>
            <w:tcW w:w="0" w:type="auto"/>
            <w:shd w:val="clear" w:color="auto" w:fill="47626F"/>
            <w:hideMark/>
          </w:tcPr>
          <w:p w14:paraId="115682BD" w14:textId="77777777" w:rsidR="008F253F" w:rsidRPr="00240C99" w:rsidRDefault="008F253F" w:rsidP="00697387">
            <w:pPr>
              <w:spacing w:before="40" w:after="40"/>
              <w:rPr>
                <w:rFonts w:ascii="Kohinoor Devanagari" w:hAnsi="Kohinoor Devanagari" w:cs="Kohinoor Devanagari"/>
                <w:b/>
                <w:bCs/>
                <w:color w:val="FFFFFF" w:themeColor="background1"/>
                <w:sz w:val="20"/>
                <w:szCs w:val="20"/>
              </w:rPr>
            </w:pPr>
            <w:r w:rsidRPr="00240C99">
              <w:rPr>
                <w:rFonts w:ascii="Kohinoor Devanagari" w:hAnsi="Kohinoor Devanagari" w:cs="Kohinoor Devanagari"/>
                <w:b/>
                <w:bCs/>
                <w:color w:val="FFFFFF" w:themeColor="background1"/>
                <w:sz w:val="20"/>
                <w:szCs w:val="20"/>
              </w:rPr>
              <w:t>Observations</w:t>
            </w:r>
          </w:p>
        </w:tc>
      </w:tr>
      <w:tr w:rsidR="008F253F" w:rsidRPr="00240C99" w14:paraId="56F97FB5" w14:textId="77777777" w:rsidTr="009512AF">
        <w:tc>
          <w:tcPr>
            <w:tcW w:w="0" w:type="auto"/>
            <w:hideMark/>
          </w:tcPr>
          <w:p w14:paraId="0A0DE185"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Termes de Référence (</w:t>
            </w:r>
            <w:proofErr w:type="spellStart"/>
            <w:r w:rsidRPr="00240C99">
              <w:rPr>
                <w:rFonts w:ascii="Kohinoor Devanagari" w:hAnsi="Kohinoor Devanagari" w:cs="Kohinoor Devanagari"/>
                <w:b/>
                <w:bCs/>
                <w:sz w:val="20"/>
                <w:szCs w:val="20"/>
              </w:rPr>
              <w:t>TdR</w:t>
            </w:r>
            <w:proofErr w:type="spellEnd"/>
            <w:r w:rsidRPr="00240C99">
              <w:rPr>
                <w:rFonts w:ascii="Kohinoor Devanagari" w:hAnsi="Kohinoor Devanagari" w:cs="Kohinoor Devanagari"/>
                <w:b/>
                <w:bCs/>
                <w:sz w:val="20"/>
                <w:szCs w:val="20"/>
              </w:rPr>
              <w:t>)</w:t>
            </w:r>
          </w:p>
        </w:tc>
        <w:tc>
          <w:tcPr>
            <w:tcW w:w="0" w:type="auto"/>
            <w:hideMark/>
          </w:tcPr>
          <w:p w14:paraId="519150C8"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Non soumis à publication</w:t>
            </w:r>
          </w:p>
        </w:tc>
        <w:tc>
          <w:tcPr>
            <w:tcW w:w="0" w:type="auto"/>
            <w:hideMark/>
          </w:tcPr>
          <w:p w14:paraId="4ED4DB9A"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Non disponibles publiquement</w:t>
            </w:r>
          </w:p>
        </w:tc>
      </w:tr>
      <w:tr w:rsidR="008F253F" w:rsidRPr="00240C99" w14:paraId="5B58DD2F" w14:textId="77777777" w:rsidTr="00697387">
        <w:tc>
          <w:tcPr>
            <w:tcW w:w="0" w:type="auto"/>
            <w:shd w:val="clear" w:color="auto" w:fill="E2EFD9" w:themeFill="accent6" w:themeFillTint="33"/>
            <w:hideMark/>
          </w:tcPr>
          <w:p w14:paraId="3CA517A6"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Études d’Impact Environnemental (EIE)</w:t>
            </w:r>
          </w:p>
        </w:tc>
        <w:tc>
          <w:tcPr>
            <w:tcW w:w="0" w:type="auto"/>
            <w:shd w:val="clear" w:color="auto" w:fill="E2EFD9" w:themeFill="accent6" w:themeFillTint="33"/>
            <w:hideMark/>
          </w:tcPr>
          <w:p w14:paraId="24890D6E"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Aucune obligation de publication</w:t>
            </w:r>
          </w:p>
        </w:tc>
        <w:tc>
          <w:tcPr>
            <w:tcW w:w="0" w:type="auto"/>
            <w:shd w:val="clear" w:color="auto" w:fill="E2EFD9" w:themeFill="accent6" w:themeFillTint="33"/>
            <w:hideMark/>
          </w:tcPr>
          <w:p w14:paraId="38D4EB6F"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Généralement non publiées</w:t>
            </w:r>
          </w:p>
        </w:tc>
      </w:tr>
      <w:tr w:rsidR="008F253F" w:rsidRPr="00240C99" w14:paraId="1143D8F4" w14:textId="77777777" w:rsidTr="009512AF">
        <w:tc>
          <w:tcPr>
            <w:tcW w:w="0" w:type="auto"/>
            <w:hideMark/>
          </w:tcPr>
          <w:p w14:paraId="7B2A486F"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Audits Environnementaux et Sociaux (AES)</w:t>
            </w:r>
          </w:p>
        </w:tc>
        <w:tc>
          <w:tcPr>
            <w:tcW w:w="0" w:type="auto"/>
            <w:hideMark/>
          </w:tcPr>
          <w:p w14:paraId="2029CDE7"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Non publiés</w:t>
            </w:r>
          </w:p>
        </w:tc>
        <w:tc>
          <w:tcPr>
            <w:tcW w:w="0" w:type="auto"/>
            <w:hideMark/>
          </w:tcPr>
          <w:p w14:paraId="7ECCC8E4"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Inaccessibles aux parties prenantes locales</w:t>
            </w:r>
          </w:p>
        </w:tc>
      </w:tr>
      <w:tr w:rsidR="008F253F" w:rsidRPr="00240C99" w14:paraId="39DCA687" w14:textId="77777777" w:rsidTr="00697387">
        <w:tc>
          <w:tcPr>
            <w:tcW w:w="0" w:type="auto"/>
            <w:shd w:val="clear" w:color="auto" w:fill="E2EFD9" w:themeFill="accent6" w:themeFillTint="33"/>
            <w:hideMark/>
          </w:tcPr>
          <w:p w14:paraId="72E6C182"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Rapports d’audience publique</w:t>
            </w:r>
          </w:p>
        </w:tc>
        <w:tc>
          <w:tcPr>
            <w:tcW w:w="0" w:type="auto"/>
            <w:shd w:val="clear" w:color="auto" w:fill="E2EFD9" w:themeFill="accent6" w:themeFillTint="33"/>
            <w:hideMark/>
          </w:tcPr>
          <w:p w14:paraId="199A9343"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Aucune obligation de diffusion</w:t>
            </w:r>
          </w:p>
        </w:tc>
        <w:tc>
          <w:tcPr>
            <w:tcW w:w="0" w:type="auto"/>
            <w:shd w:val="clear" w:color="auto" w:fill="E2EFD9" w:themeFill="accent6" w:themeFillTint="33"/>
            <w:hideMark/>
          </w:tcPr>
          <w:p w14:paraId="5A102EB4"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Absents des portails institutionnels</w:t>
            </w:r>
          </w:p>
        </w:tc>
      </w:tr>
      <w:tr w:rsidR="008F253F" w:rsidRPr="00240C99" w14:paraId="05200626" w14:textId="77777777" w:rsidTr="009512AF">
        <w:tc>
          <w:tcPr>
            <w:tcW w:w="0" w:type="auto"/>
            <w:hideMark/>
          </w:tcPr>
          <w:p w14:paraId="60ED5B8A"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Certificats de Conformité Environnementale (CCE)</w:t>
            </w:r>
          </w:p>
        </w:tc>
        <w:tc>
          <w:tcPr>
            <w:tcW w:w="0" w:type="auto"/>
            <w:hideMark/>
          </w:tcPr>
          <w:p w14:paraId="0CDD9673"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Non publiés</w:t>
            </w:r>
          </w:p>
        </w:tc>
        <w:tc>
          <w:tcPr>
            <w:tcW w:w="0" w:type="auto"/>
            <w:hideMark/>
          </w:tcPr>
          <w:p w14:paraId="2BE18109"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Impossible de vérifier la conformité des projets</w:t>
            </w:r>
          </w:p>
        </w:tc>
      </w:tr>
      <w:tr w:rsidR="008F253F" w:rsidRPr="00240C99" w14:paraId="75ECD57A" w14:textId="77777777" w:rsidTr="00697387">
        <w:tc>
          <w:tcPr>
            <w:tcW w:w="0" w:type="auto"/>
            <w:shd w:val="clear" w:color="auto" w:fill="E2EFD9" w:themeFill="accent6" w:themeFillTint="33"/>
            <w:hideMark/>
          </w:tcPr>
          <w:p w14:paraId="3898850B"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Délibérations du CIE</w:t>
            </w:r>
          </w:p>
        </w:tc>
        <w:tc>
          <w:tcPr>
            <w:tcW w:w="0" w:type="auto"/>
            <w:shd w:val="clear" w:color="auto" w:fill="E2EFD9" w:themeFill="accent6" w:themeFillTint="33"/>
            <w:hideMark/>
          </w:tcPr>
          <w:p w14:paraId="4E34DB66"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Non publiées</w:t>
            </w:r>
          </w:p>
        </w:tc>
        <w:tc>
          <w:tcPr>
            <w:tcW w:w="0" w:type="auto"/>
            <w:shd w:val="clear" w:color="auto" w:fill="E2EFD9" w:themeFill="accent6" w:themeFillTint="33"/>
            <w:hideMark/>
          </w:tcPr>
          <w:p w14:paraId="5CD1C12D"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Aucun accès aux décisions d’approbation ou de rejet</w:t>
            </w:r>
          </w:p>
        </w:tc>
      </w:tr>
      <w:tr w:rsidR="008F253F" w:rsidRPr="00240C99" w14:paraId="788B8CCF" w14:textId="77777777" w:rsidTr="009512AF">
        <w:tc>
          <w:tcPr>
            <w:tcW w:w="0" w:type="auto"/>
            <w:hideMark/>
          </w:tcPr>
          <w:p w14:paraId="19C6AC5F" w14:textId="77777777" w:rsidR="008F253F" w:rsidRPr="00240C99" w:rsidRDefault="008F253F" w:rsidP="00697387">
            <w:pPr>
              <w:spacing w:before="40" w:after="40"/>
              <w:rPr>
                <w:rFonts w:ascii="Kohinoor Devanagari" w:hAnsi="Kohinoor Devanagari" w:cs="Kohinoor Devanagari"/>
                <w:b/>
                <w:bCs/>
                <w:sz w:val="20"/>
                <w:szCs w:val="20"/>
              </w:rPr>
            </w:pPr>
            <w:r w:rsidRPr="00240C99">
              <w:rPr>
                <w:rFonts w:ascii="Kohinoor Devanagari" w:hAnsi="Kohinoor Devanagari" w:cs="Kohinoor Devanagari"/>
                <w:b/>
                <w:bCs/>
                <w:sz w:val="20"/>
                <w:szCs w:val="20"/>
              </w:rPr>
              <w:t>Rapports d’audit de conformité</w:t>
            </w:r>
          </w:p>
        </w:tc>
        <w:tc>
          <w:tcPr>
            <w:tcW w:w="0" w:type="auto"/>
            <w:hideMark/>
          </w:tcPr>
          <w:p w14:paraId="75CF8682"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Non soumis à obligation de publication</w:t>
            </w:r>
          </w:p>
        </w:tc>
        <w:tc>
          <w:tcPr>
            <w:tcW w:w="0" w:type="auto"/>
            <w:hideMark/>
          </w:tcPr>
          <w:p w14:paraId="35682CCD" w14:textId="77777777" w:rsidR="008F253F" w:rsidRPr="00240C99" w:rsidRDefault="008F253F" w:rsidP="00697387">
            <w:pPr>
              <w:spacing w:before="40" w:after="40"/>
              <w:rPr>
                <w:rFonts w:ascii="Kohinoor Devanagari" w:hAnsi="Kohinoor Devanagari" w:cs="Kohinoor Devanagari"/>
                <w:sz w:val="20"/>
                <w:szCs w:val="20"/>
              </w:rPr>
            </w:pPr>
            <w:r w:rsidRPr="00240C99">
              <w:rPr>
                <w:rFonts w:ascii="Kohinoor Devanagari" w:hAnsi="Kohinoor Devanagari" w:cs="Kohinoor Devanagari"/>
                <w:sz w:val="20"/>
                <w:szCs w:val="20"/>
              </w:rPr>
              <w:t>Absence totale de publication sectorielle</w:t>
            </w:r>
          </w:p>
        </w:tc>
      </w:tr>
    </w:tbl>
    <w:p w14:paraId="1CA5E753" w14:textId="77777777" w:rsidR="008F253F" w:rsidRPr="00240C99" w:rsidRDefault="008F253F" w:rsidP="002B719F">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d) Contraintes légales et institutionnelles</w:t>
      </w:r>
    </w:p>
    <w:p w14:paraId="23A81406" w14:textId="77777777" w:rsidR="008F253F" w:rsidRPr="00240C99" w:rsidRDefault="008F253F" w:rsidP="001059BE">
      <w:pPr>
        <w:numPr>
          <w:ilvl w:val="0"/>
          <w:numId w:val="10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Aucune disposition explicite n’impose la publication proactive des documents environnementaux</w:t>
      </w:r>
      <w:r w:rsidRPr="00240C99">
        <w:rPr>
          <w:rFonts w:ascii="Kohinoor Devanagari" w:hAnsi="Kohinoor Devanagari" w:cs="Kohinoor Devanagari"/>
          <w:sz w:val="20"/>
          <w:szCs w:val="20"/>
        </w:rPr>
        <w:t>, contrairement à ce que recommande la Norme ITIE 2023.</w:t>
      </w:r>
    </w:p>
    <w:p w14:paraId="0214FEDA" w14:textId="77777777" w:rsidR="008F253F" w:rsidRPr="00240C99" w:rsidRDefault="008F253F" w:rsidP="001059BE">
      <w:pPr>
        <w:numPr>
          <w:ilvl w:val="0"/>
          <w:numId w:val="10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Les décisions du </w:t>
      </w:r>
      <w:r w:rsidRPr="00240C99">
        <w:rPr>
          <w:rFonts w:ascii="Kohinoor Devanagari" w:hAnsi="Kohinoor Devanagari" w:cs="Kohinoor Devanagari"/>
          <w:b/>
          <w:bCs/>
          <w:sz w:val="20"/>
          <w:szCs w:val="20"/>
        </w:rPr>
        <w:t>Comité Interministériel de l’Environnement (CIE)</w:t>
      </w:r>
      <w:r w:rsidRPr="00240C99">
        <w:rPr>
          <w:rFonts w:ascii="Kohinoor Devanagari" w:hAnsi="Kohinoor Devanagari" w:cs="Kohinoor Devanagari"/>
          <w:sz w:val="20"/>
          <w:szCs w:val="20"/>
        </w:rPr>
        <w:t xml:space="preserve"> restent confidentielles, limitant la transparence des mécanismes d’approbation.</w:t>
      </w:r>
    </w:p>
    <w:p w14:paraId="7A81AE69" w14:textId="77777777" w:rsidR="008F253F" w:rsidRPr="00240C99" w:rsidRDefault="008F253F" w:rsidP="001059BE">
      <w:pPr>
        <w:numPr>
          <w:ilvl w:val="0"/>
          <w:numId w:val="10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Il n’existe </w:t>
      </w:r>
      <w:r w:rsidRPr="00240C99">
        <w:rPr>
          <w:rFonts w:ascii="Kohinoor Devanagari" w:hAnsi="Kohinoor Devanagari" w:cs="Kohinoor Devanagari"/>
          <w:b/>
          <w:bCs/>
          <w:sz w:val="20"/>
          <w:szCs w:val="20"/>
        </w:rPr>
        <w:t>pas de portail public ou de registre électronique</w:t>
      </w:r>
      <w:r w:rsidRPr="00240C99">
        <w:rPr>
          <w:rFonts w:ascii="Kohinoor Devanagari" w:hAnsi="Kohinoor Devanagari" w:cs="Kohinoor Devanagari"/>
          <w:sz w:val="20"/>
          <w:szCs w:val="20"/>
        </w:rPr>
        <w:t xml:space="preserve"> recensant les EIES validées, les CCE délivrés ou les audits réalisés.</w:t>
      </w:r>
    </w:p>
    <w:p w14:paraId="5C0CDB58" w14:textId="77777777" w:rsidR="008F253F" w:rsidRPr="00240C99" w:rsidRDefault="008F253F" w:rsidP="001059BE">
      <w:pPr>
        <w:numPr>
          <w:ilvl w:val="0"/>
          <w:numId w:val="10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La diffusion des documents est souvent entravée par </w:t>
      </w:r>
      <w:r w:rsidRPr="00240C99">
        <w:rPr>
          <w:rFonts w:ascii="Kohinoor Devanagari" w:hAnsi="Kohinoor Devanagari" w:cs="Kohinoor Devanagari"/>
          <w:b/>
          <w:bCs/>
          <w:sz w:val="20"/>
          <w:szCs w:val="20"/>
        </w:rPr>
        <w:t>l’absence de directives opérationnelles</w:t>
      </w:r>
      <w:r w:rsidRPr="00240C99">
        <w:rPr>
          <w:rFonts w:ascii="Kohinoor Devanagari" w:hAnsi="Kohinoor Devanagari" w:cs="Kohinoor Devanagari"/>
          <w:sz w:val="20"/>
          <w:szCs w:val="20"/>
        </w:rPr>
        <w:t xml:space="preserve"> au sein du MINEPDED ou par un </w:t>
      </w:r>
      <w:r w:rsidRPr="00240C99">
        <w:rPr>
          <w:rFonts w:ascii="Kohinoor Devanagari" w:hAnsi="Kohinoor Devanagari" w:cs="Kohinoor Devanagari"/>
          <w:b/>
          <w:bCs/>
          <w:sz w:val="20"/>
          <w:szCs w:val="20"/>
        </w:rPr>
        <w:t>manque de coordination interinstitutionnelle</w:t>
      </w:r>
      <w:r w:rsidRPr="00240C99">
        <w:rPr>
          <w:rFonts w:ascii="Kohinoor Devanagari" w:hAnsi="Kohinoor Devanagari" w:cs="Kohinoor Devanagari"/>
          <w:sz w:val="20"/>
          <w:szCs w:val="20"/>
        </w:rPr>
        <w:t xml:space="preserve"> avec les ministères sectoriels.</w:t>
      </w:r>
    </w:p>
    <w:p w14:paraId="7447B0C8" w14:textId="77777777" w:rsidR="008F253F" w:rsidRPr="00240C99" w:rsidRDefault="008F253F" w:rsidP="002B719F">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 xml:space="preserve">e) Recommandations </w:t>
      </w:r>
    </w:p>
    <w:p w14:paraId="7D55E57C" w14:textId="77777777" w:rsidR="008F253F" w:rsidRPr="00240C99" w:rsidRDefault="008F253F" w:rsidP="001059BE">
      <w:pPr>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Adopter un texte réglementaire ou une directive du MINEPDED</w:t>
      </w:r>
      <w:r w:rsidRPr="00240C99">
        <w:rPr>
          <w:rFonts w:ascii="Kohinoor Devanagari" w:hAnsi="Kohinoor Devanagari" w:cs="Kohinoor Devanagari"/>
          <w:sz w:val="20"/>
          <w:szCs w:val="20"/>
        </w:rPr>
        <w:t xml:space="preserve"> imposant la publication systématique des EIES, AES, CCE et des rapports d’audiences, au format numérique.</w:t>
      </w:r>
    </w:p>
    <w:p w14:paraId="6351B790" w14:textId="77777777" w:rsidR="008F253F" w:rsidRPr="00240C99" w:rsidRDefault="008F253F" w:rsidP="001059BE">
      <w:pPr>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Créer une base de données publique et interopérable</w:t>
      </w:r>
      <w:r w:rsidRPr="00240C99">
        <w:rPr>
          <w:rFonts w:ascii="Kohinoor Devanagari" w:hAnsi="Kohinoor Devanagari" w:cs="Kohinoor Devanagari"/>
          <w:sz w:val="20"/>
          <w:szCs w:val="20"/>
        </w:rPr>
        <w:t xml:space="preserve"> regroupant les documents environnementaux des projets extractifs, accessible via les portails du MINEPDED et de l’ITIE.</w:t>
      </w:r>
    </w:p>
    <w:p w14:paraId="50FBF058" w14:textId="77777777" w:rsidR="008F253F" w:rsidRPr="00240C99" w:rsidRDefault="008F253F" w:rsidP="001059BE">
      <w:pPr>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Renforcer les obligations contractuelles des entreprises extractives</w:t>
      </w:r>
      <w:r w:rsidRPr="00240C99">
        <w:rPr>
          <w:rFonts w:ascii="Kohinoor Devanagari" w:hAnsi="Kohinoor Devanagari" w:cs="Kohinoor Devanagari"/>
          <w:sz w:val="20"/>
          <w:szCs w:val="20"/>
        </w:rPr>
        <w:t xml:space="preserve"> en incluant une clause de transparence environnementale dans les futurs contrats.</w:t>
      </w:r>
    </w:p>
    <w:p w14:paraId="6C40426C" w14:textId="77777777" w:rsidR="008F253F" w:rsidRPr="00240C99" w:rsidRDefault="008F253F" w:rsidP="001059BE">
      <w:pPr>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Appuyer la systématisation de résumés publics</w:t>
      </w:r>
      <w:r w:rsidRPr="00240C99">
        <w:rPr>
          <w:rFonts w:ascii="Kohinoor Devanagari" w:hAnsi="Kohinoor Devanagari" w:cs="Kohinoor Devanagari"/>
          <w:sz w:val="20"/>
          <w:szCs w:val="20"/>
        </w:rPr>
        <w:t xml:space="preserve"> des délibérations du CIE, avec un résumé non technique pour les communautés locales.</w:t>
      </w:r>
    </w:p>
    <w:p w14:paraId="78411CFF" w14:textId="77777777" w:rsidR="008F253F" w:rsidRPr="00240C99" w:rsidRDefault="008F253F" w:rsidP="001059BE">
      <w:pPr>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Clarifier que la politique nationale de transparence et les engagements ITIE prévalent</w:t>
      </w:r>
      <w:r w:rsidRPr="00240C99">
        <w:rPr>
          <w:rFonts w:ascii="Kohinoor Devanagari" w:hAnsi="Kohinoor Devanagari" w:cs="Kohinoor Devanagari"/>
          <w:sz w:val="20"/>
          <w:szCs w:val="20"/>
        </w:rPr>
        <w:t>, même en l’absence de dispositions explicites dans les textes environnementaux actuels.</w:t>
      </w:r>
    </w:p>
    <w:p w14:paraId="750254E6" w14:textId="77777777" w:rsidR="008F253F" w:rsidRPr="00240C99" w:rsidRDefault="008F253F" w:rsidP="001059BE">
      <w:pPr>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Mettre en place une cellule conjointe MINEPDED–ITIE–ministères sectoriels</w:t>
      </w:r>
      <w:r w:rsidRPr="00240C99">
        <w:rPr>
          <w:rFonts w:ascii="Kohinoor Devanagari" w:hAnsi="Kohinoor Devanagari" w:cs="Kohinoor Devanagari"/>
          <w:sz w:val="20"/>
          <w:szCs w:val="20"/>
        </w:rPr>
        <w:t xml:space="preserve"> chargée du suivi de la divulgation environnementale des projets extractifs.</w:t>
      </w:r>
    </w:p>
    <w:p w14:paraId="757FFBE7" w14:textId="77777777" w:rsidR="008F253F" w:rsidRPr="00240C99" w:rsidRDefault="008F253F" w:rsidP="001059BE">
      <w:pPr>
        <w:pStyle w:val="Paragraphedeliste"/>
        <w:numPr>
          <w:ilvl w:val="0"/>
          <w:numId w:val="10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Former les parties prenantes (OSC, collectivités locales, élus, entreprises)</w:t>
      </w:r>
      <w:r w:rsidRPr="00240C99">
        <w:rPr>
          <w:rFonts w:ascii="Kohinoor Devanagari" w:hAnsi="Kohinoor Devanagari" w:cs="Kohinoor Devanagari"/>
          <w:sz w:val="20"/>
          <w:szCs w:val="20"/>
        </w:rPr>
        <w:t xml:space="preserve"> à la lecture, l’interprétation et l’utilisation des documents environnementaux publiés, afin de favoriser un contrôle citoyen effectif, notamment dans les zones d’impact direct.</w:t>
      </w:r>
    </w:p>
    <w:p w14:paraId="10948982" w14:textId="40E3221C" w:rsidR="0034332A" w:rsidRPr="00240C99" w:rsidRDefault="00E019D7" w:rsidP="001059BE">
      <w:pPr>
        <w:pStyle w:val="Titre2"/>
        <w:numPr>
          <w:ilvl w:val="1"/>
          <w:numId w:val="8"/>
        </w:numPr>
        <w:spacing w:before="120" w:after="120" w:line="240" w:lineRule="auto"/>
        <w:ind w:left="851" w:hanging="491"/>
        <w:rPr>
          <w:rFonts w:ascii="Kohinoor Devanagari" w:eastAsia="Times New Roman" w:hAnsi="Kohinoor Devanagari" w:cs="Kohinoor Devanagari"/>
          <w:b/>
          <w:bCs/>
          <w:color w:val="000000" w:themeColor="text1"/>
          <w:sz w:val="20"/>
          <w:szCs w:val="20"/>
          <w:lang w:eastAsia="fr-FR"/>
        </w:rPr>
      </w:pPr>
      <w:bookmarkStart w:id="30" w:name="_Toc204691617"/>
      <w:r w:rsidRPr="00240C99">
        <w:rPr>
          <w:rFonts w:ascii="Kohinoor Devanagari" w:eastAsia="Times New Roman" w:hAnsi="Kohinoor Devanagari" w:cs="Kohinoor Devanagari"/>
          <w:b/>
          <w:bCs/>
          <w:color w:val="000000" w:themeColor="text1"/>
          <w:sz w:val="20"/>
          <w:szCs w:val="20"/>
          <w:lang w:eastAsia="fr-FR"/>
        </w:rPr>
        <w:t>Identification des obstacles et des contraintes</w:t>
      </w:r>
      <w:bookmarkEnd w:id="30"/>
      <w:r w:rsidRPr="00240C99">
        <w:rPr>
          <w:rFonts w:ascii="Kohinoor Devanagari" w:eastAsia="Times New Roman" w:hAnsi="Kohinoor Devanagari" w:cs="Kohinoor Devanagari"/>
          <w:b/>
          <w:bCs/>
          <w:color w:val="000000" w:themeColor="text1"/>
          <w:sz w:val="20"/>
          <w:szCs w:val="20"/>
          <w:lang w:eastAsia="fr-FR"/>
        </w:rPr>
        <w:t xml:space="preserve"> </w:t>
      </w:r>
    </w:p>
    <w:p w14:paraId="31F379F9" w14:textId="77777777" w:rsidR="00FD72DE" w:rsidRPr="00240C99" w:rsidRDefault="00FD72DE"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Direction Générale des Impôts (DGI)</w:t>
      </w:r>
    </w:p>
    <w:p w14:paraId="2E2FD5FD" w14:textId="0BD662A4"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 Registre des bénéficiaires effectifs en construction, sans champ pour les PPE</w:t>
      </w:r>
    </w:p>
    <w:p w14:paraId="7C3116A9" w14:textId="77777777" w:rsidR="00750F97" w:rsidRPr="00240C99" w:rsidRDefault="00750F97" w:rsidP="001059BE">
      <w:pPr>
        <w:numPr>
          <w:ilvl w:val="0"/>
          <w:numId w:val="1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Réglementaire et technique</w:t>
      </w:r>
    </w:p>
    <w:p w14:paraId="023F43BD" w14:textId="77777777" w:rsidR="00750F97" w:rsidRPr="00240C99" w:rsidRDefault="00750F97" w:rsidP="001059BE">
      <w:pPr>
        <w:numPr>
          <w:ilvl w:val="0"/>
          <w:numId w:val="1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w:t>
      </w:r>
      <w:r w:rsidRPr="00240C99">
        <w:rPr>
          <w:rFonts w:ascii="Kohinoor Devanagari" w:hAnsi="Kohinoor Devanagari" w:cs="Kohinoor Devanagari"/>
          <w:color w:val="000000" w:themeColor="text1"/>
          <w:sz w:val="20"/>
          <w:szCs w:val="20"/>
        </w:rPr>
        <w:t>Un registre des bénéficiaires effectifs (BE) est en cours de mise en œuvre, sous la coordination du ministère des Finances. Ce registre, amorcé avec les grandes entreprises, n’est pas encore en ligne, ni interconnecté aux autres bases sectorielles, et ne prévoit pas de champ dédié à l’identification des personnes politiquement exposées (PPE).</w:t>
      </w:r>
    </w:p>
    <w:p w14:paraId="50166454" w14:textId="77777777" w:rsidR="00750F97" w:rsidRPr="00240C99" w:rsidRDefault="00750F97" w:rsidP="001059BE">
      <w:pPr>
        <w:numPr>
          <w:ilvl w:val="0"/>
          <w:numId w:val="1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ces champs limite la capacité à identifier les propriétaires réels et les risques associés dans les entreprises extractives.</w:t>
      </w:r>
    </w:p>
    <w:p w14:paraId="0613CCFA" w14:textId="77777777" w:rsidR="00750F97" w:rsidRPr="00240C99" w:rsidRDefault="00750F97" w:rsidP="001059BE">
      <w:pPr>
        <w:numPr>
          <w:ilvl w:val="0"/>
          <w:numId w:val="1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Compléter le registre avec des champs relatifs aux PPE, et planifier son interconnexion avec le cadastre minier, le RCCM et les systèmes fiscaux.</w:t>
      </w:r>
    </w:p>
    <w:p w14:paraId="40AB50DC"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(ii) Désagrégation par projet limitée au secteur pétrolier</w:t>
      </w:r>
    </w:p>
    <w:p w14:paraId="0749F10D" w14:textId="77777777" w:rsidR="00750F97" w:rsidRPr="00240C99" w:rsidRDefault="00750F97" w:rsidP="001059BE">
      <w:pPr>
        <w:numPr>
          <w:ilvl w:val="0"/>
          <w:numId w:val="1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Opérationnel</w:t>
      </w:r>
    </w:p>
    <w:p w14:paraId="3AB12D21" w14:textId="77777777" w:rsidR="00750F97" w:rsidRPr="00240C99" w:rsidRDefault="00750F97" w:rsidP="001059BE">
      <w:pPr>
        <w:numPr>
          <w:ilvl w:val="0"/>
          <w:numId w:val="1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Dans le secteur pétrolier, l’impôt sur les sociétés est déclaré par projet. Ce niveau de ventilation n’est pas appliqué au secteur minier, où les paiements (IS, redevances, droits) sont déclarés globalement par entité.</w:t>
      </w:r>
    </w:p>
    <w:p w14:paraId="3A1D27AD" w14:textId="77777777" w:rsidR="00750F97" w:rsidRPr="00240C99" w:rsidRDefault="00750F97" w:rsidP="001059BE">
      <w:pPr>
        <w:numPr>
          <w:ilvl w:val="0"/>
          <w:numId w:val="1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absence de désagrégation dans le secteur minier restreint la traçabilité des revenus par projet, conformément aux exigences ITIE.</w:t>
      </w:r>
    </w:p>
    <w:p w14:paraId="0B87E5C7" w14:textId="77777777" w:rsidR="00750F97" w:rsidRPr="00240C99" w:rsidRDefault="00750F97" w:rsidP="001059BE">
      <w:pPr>
        <w:numPr>
          <w:ilvl w:val="0"/>
          <w:numId w:val="1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Envisager une adaptation progressive des procédures fiscales minières pour permettre une désagrégation par projet.</w:t>
      </w:r>
    </w:p>
    <w:p w14:paraId="7786B32B"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(iii) Données fiscales digitalisées pour les grandes entreprises, non pour les PME</w:t>
      </w:r>
    </w:p>
    <w:p w14:paraId="05947B73" w14:textId="77777777" w:rsidR="00750F97" w:rsidRPr="00240C99" w:rsidRDefault="00750F97" w:rsidP="001059BE">
      <w:pPr>
        <w:numPr>
          <w:ilvl w:val="0"/>
          <w:numId w:val="1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opérationnel</w:t>
      </w:r>
    </w:p>
    <w:p w14:paraId="2C50A3F3" w14:textId="77777777" w:rsidR="00750F97" w:rsidRPr="00240C99" w:rsidRDefault="00750F97" w:rsidP="001059BE">
      <w:pPr>
        <w:numPr>
          <w:ilvl w:val="0"/>
          <w:numId w:val="1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Description</w:t>
      </w:r>
      <w:r w:rsidRPr="00240C99">
        <w:rPr>
          <w:rFonts w:ascii="Kohinoor Devanagari" w:hAnsi="Kohinoor Devanagari" w:cs="Kohinoor Devanagari"/>
          <w:sz w:val="20"/>
          <w:szCs w:val="20"/>
        </w:rPr>
        <w:t xml:space="preserve"> : Les obligations fiscales des grandes entreprises extractives, notamment dans le secteur pétrolier sous la DGE, sont entièrement digitalisées. En revanche, pour les PME, en particulier dans le secteur minier, les données ne sont pas encore digitalisées ni intégrées de manière systématique.</w:t>
      </w:r>
    </w:p>
    <w:p w14:paraId="2CAE6B75" w14:textId="77777777" w:rsidR="00750F97" w:rsidRPr="00240C99" w:rsidRDefault="00750F97" w:rsidP="001059BE">
      <w:pPr>
        <w:numPr>
          <w:ilvl w:val="0"/>
          <w:numId w:val="1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situation limite la possibilité de produire des données fiables et désagrégées pour les PME minières, avec un risque de latence dans le traitement et la consolidation des informations.</w:t>
      </w:r>
    </w:p>
    <w:p w14:paraId="3A5D3A9A" w14:textId="77777777" w:rsidR="00750F97" w:rsidRPr="00240C99" w:rsidRDefault="00750F97" w:rsidP="001059BE">
      <w:pPr>
        <w:numPr>
          <w:ilvl w:val="0"/>
          <w:numId w:val="1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Accélérer la digitalisation des données fiscales des PME extractives, dans le cadre de la feuille de route existante, en ciblant les priorités liées à la divulgation systématique.</w:t>
      </w:r>
    </w:p>
    <w:p w14:paraId="259DEA48"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(iv) États financiers digitalisés et facilement exploitables pour les grandes entreprises</w:t>
      </w:r>
    </w:p>
    <w:p w14:paraId="363198CF" w14:textId="77777777" w:rsidR="00750F97" w:rsidRPr="00240C99" w:rsidRDefault="00750F97" w:rsidP="001059BE">
      <w:pPr>
        <w:numPr>
          <w:ilvl w:val="0"/>
          <w:numId w:val="1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w:t>
      </w:r>
    </w:p>
    <w:p w14:paraId="27C01012" w14:textId="77777777" w:rsidR="00750F97" w:rsidRPr="00240C99" w:rsidRDefault="00750F97" w:rsidP="001059BE">
      <w:pPr>
        <w:numPr>
          <w:ilvl w:val="0"/>
          <w:numId w:val="1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DGI reçoit les états financiers des grandes entreprises sous format digitalisé. L’extraction et l’exploitation de ces données sont techniquement possibles et intégrées dans les procédures internes.</w:t>
      </w:r>
    </w:p>
    <w:p w14:paraId="0E355856" w14:textId="77777777" w:rsidR="00750F97" w:rsidRPr="00240C99" w:rsidRDefault="00750F97" w:rsidP="001059BE">
      <w:pPr>
        <w:numPr>
          <w:ilvl w:val="0"/>
          <w:numId w:val="1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Cela constitue une base fiable pour le suivi des déclarations fiscales, l’analyse des indicateurs financiers et la préparation de données consolidées.</w:t>
      </w:r>
    </w:p>
    <w:p w14:paraId="2F8A8DE5" w14:textId="77777777" w:rsidR="00750F97" w:rsidRPr="00240C99" w:rsidRDefault="00750F97" w:rsidP="001059BE">
      <w:pPr>
        <w:numPr>
          <w:ilvl w:val="0"/>
          <w:numId w:val="1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Renforcer la valorisation des états financiers disponibles dans le cadre des travaux ITIE, en s’appuyant sur cette infrastructure numérique existante.</w:t>
      </w:r>
    </w:p>
    <w:p w14:paraId="71725BEF"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(v) Feuille de route pour fiabilisation des données fiscales des PME extractives</w:t>
      </w:r>
    </w:p>
    <w:p w14:paraId="4B3DE68C" w14:textId="77777777" w:rsidR="00750F97" w:rsidRPr="00240C99" w:rsidRDefault="00750F97" w:rsidP="001059BE">
      <w:pPr>
        <w:numPr>
          <w:ilvl w:val="0"/>
          <w:numId w:val="1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Organisationnel</w:t>
      </w:r>
    </w:p>
    <w:p w14:paraId="20C2531E" w14:textId="77777777" w:rsidR="00750F97" w:rsidRPr="00240C99" w:rsidRDefault="00750F97" w:rsidP="001059BE">
      <w:pPr>
        <w:numPr>
          <w:ilvl w:val="0"/>
          <w:numId w:val="1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Une feuille de route a été élaborée pour améliorer la fiabilité des données des PME, y compris dans le secteur minier. Toutefois, sa mise en œuvre reste progressive.</w:t>
      </w:r>
    </w:p>
    <w:p w14:paraId="59FB5999" w14:textId="77777777" w:rsidR="00750F97" w:rsidRPr="00240C99" w:rsidRDefault="00750F97" w:rsidP="001059BE">
      <w:pPr>
        <w:numPr>
          <w:ilvl w:val="0"/>
          <w:numId w:val="1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 faible niveau d’intégration et de structuration des données limite encore la possibilité d’une divulgation exhaustive.</w:t>
      </w:r>
    </w:p>
    <w:p w14:paraId="1AA92929" w14:textId="77777777" w:rsidR="00750F97" w:rsidRPr="00240C99" w:rsidRDefault="00750F97" w:rsidP="001059BE">
      <w:pPr>
        <w:numPr>
          <w:ilvl w:val="0"/>
          <w:numId w:val="1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Poursuivre la mise en œuvre de la feuille de route, en intégrant des exigences de traçabilité et de classification sectorielle dès la collecte des données.</w:t>
      </w:r>
    </w:p>
    <w:p w14:paraId="669CD6EB"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(vi) Interopérabilité partielle avec les systèmes sectoriels</w:t>
      </w:r>
    </w:p>
    <w:p w14:paraId="29EDEB16" w14:textId="77777777" w:rsidR="00750F97" w:rsidRPr="00240C99" w:rsidRDefault="00750F97" w:rsidP="001059BE">
      <w:pPr>
        <w:numPr>
          <w:ilvl w:val="0"/>
          <w:numId w:val="1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Technologique</w:t>
      </w:r>
    </w:p>
    <w:p w14:paraId="27606C2E" w14:textId="77777777" w:rsidR="00750F97" w:rsidRPr="00240C99" w:rsidRDefault="00750F97" w:rsidP="001059BE">
      <w:pPr>
        <w:numPr>
          <w:ilvl w:val="0"/>
          <w:numId w:val="1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Une interconnexion est opérationnelle avec le Trésor public (PATRIMOINE). Une demande de connexion avec le cadastre minier a été formulée par le ministère des Finances, mais n’est pas encore mise en œuvre.</w:t>
      </w:r>
    </w:p>
    <w:p w14:paraId="3922FB9A" w14:textId="77777777" w:rsidR="00750F97" w:rsidRPr="00240C99" w:rsidRDefault="00750F97" w:rsidP="001059BE">
      <w:pPr>
        <w:numPr>
          <w:ilvl w:val="0"/>
          <w:numId w:val="1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d’interopérabilité freine la consolidation automatique des données entre entités fiscales, sectorielles et budgétaires.</w:t>
      </w:r>
    </w:p>
    <w:p w14:paraId="0E1B0316" w14:textId="77777777" w:rsidR="00750F97" w:rsidRPr="00240C99" w:rsidRDefault="00750F97" w:rsidP="001059BE">
      <w:pPr>
        <w:numPr>
          <w:ilvl w:val="0"/>
          <w:numId w:val="1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Actions suggérées</w:t>
      </w:r>
      <w:r w:rsidRPr="00240C99">
        <w:rPr>
          <w:rFonts w:ascii="Kohinoor Devanagari" w:hAnsi="Kohinoor Devanagari" w:cs="Kohinoor Devanagari"/>
          <w:sz w:val="20"/>
          <w:szCs w:val="20"/>
        </w:rPr>
        <w:t xml:space="preserve"> : Mettre en œuvre les interconnexions prévues, en intégrant des identifiants communs (par projet ou permis) dans les systèmes concernés.</w:t>
      </w:r>
    </w:p>
    <w:p w14:paraId="3D52290D"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(vii) Projet de base de données intégrée prévu pour 2027</w:t>
      </w:r>
    </w:p>
    <w:p w14:paraId="13FDAB32" w14:textId="77777777" w:rsidR="00750F97" w:rsidRPr="00240C99" w:rsidRDefault="00750F97" w:rsidP="001059BE">
      <w:pPr>
        <w:numPr>
          <w:ilvl w:val="0"/>
          <w:numId w:val="1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Structurant et prospectif</w:t>
      </w:r>
    </w:p>
    <w:p w14:paraId="059D5DFB" w14:textId="77777777" w:rsidR="00750F97" w:rsidRPr="00240C99" w:rsidRDefault="00750F97" w:rsidP="001059BE">
      <w:pPr>
        <w:numPr>
          <w:ilvl w:val="0"/>
          <w:numId w:val="1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Une base de données intégrée, regroupant les données fiscales, les états financiers, les audits de coûts et les identifiants sectoriels, est en cours de développement, avec un déploiement prévu d’ici 2027.</w:t>
      </w:r>
    </w:p>
    <w:p w14:paraId="012B1E3C" w14:textId="77777777" w:rsidR="00750F97" w:rsidRPr="00240C99" w:rsidRDefault="00750F97" w:rsidP="001059BE">
      <w:pPr>
        <w:numPr>
          <w:ilvl w:val="0"/>
          <w:numId w:val="1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 projet offre une opportunité structurante pour améliorer la disponibilité, la qualité et la transversalité des données.</w:t>
      </w:r>
    </w:p>
    <w:p w14:paraId="6E33922D" w14:textId="77777777" w:rsidR="00750F97" w:rsidRPr="00240C99" w:rsidRDefault="00750F97" w:rsidP="001059BE">
      <w:pPr>
        <w:numPr>
          <w:ilvl w:val="0"/>
          <w:numId w:val="1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Intégrer dès à présent les exigences liées à la désagrégation par projet et à l’interopérabilité dans la conception fonctionnelle du futur système.</w:t>
      </w:r>
    </w:p>
    <w:p w14:paraId="4B7BB2E6"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(viii) Audits des coûts réalisés mais non publiés</w:t>
      </w:r>
    </w:p>
    <w:p w14:paraId="638AEBCF" w14:textId="77777777" w:rsidR="00750F97" w:rsidRPr="00240C99" w:rsidRDefault="00750F97" w:rsidP="001059BE">
      <w:pPr>
        <w:numPr>
          <w:ilvl w:val="0"/>
          <w:numId w:val="1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w:t>
      </w:r>
    </w:p>
    <w:p w14:paraId="63853E43" w14:textId="00D533CD" w:rsidR="00750F97" w:rsidRPr="00240C99" w:rsidRDefault="00750F97" w:rsidP="001059BE">
      <w:pPr>
        <w:numPr>
          <w:ilvl w:val="0"/>
          <w:numId w:val="1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Des audits de coûts miniers sont élaborés, notamment pour les sociétés en phase de </w:t>
      </w:r>
      <w:r w:rsidR="00D76926" w:rsidRPr="00240C99">
        <w:rPr>
          <w:rFonts w:ascii="Kohinoor Devanagari" w:hAnsi="Kohinoor Devanagari" w:cs="Kohinoor Devanagari"/>
          <w:sz w:val="20"/>
          <w:szCs w:val="20"/>
        </w:rPr>
        <w:t>préproduction</w:t>
      </w:r>
      <w:r w:rsidRPr="00240C99">
        <w:rPr>
          <w:rFonts w:ascii="Kohinoor Devanagari" w:hAnsi="Kohinoor Devanagari" w:cs="Kohinoor Devanagari"/>
          <w:sz w:val="20"/>
          <w:szCs w:val="20"/>
        </w:rPr>
        <w:t>. Ces rapports, bien qu’existants, ne sont pas encore publiés.</w:t>
      </w:r>
    </w:p>
    <w:p w14:paraId="09B276EC" w14:textId="77777777" w:rsidR="00750F97" w:rsidRPr="00240C99" w:rsidRDefault="00750F97" w:rsidP="001059BE">
      <w:pPr>
        <w:numPr>
          <w:ilvl w:val="0"/>
          <w:numId w:val="1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Leur publication, même sous forme synthétique, renforcerait la transparence sur la base fiscale des coûts déclarés.</w:t>
      </w:r>
    </w:p>
    <w:p w14:paraId="1E88E266" w14:textId="77777777" w:rsidR="00750F97" w:rsidRPr="00240C99" w:rsidRDefault="00750F97" w:rsidP="001059BE">
      <w:pPr>
        <w:numPr>
          <w:ilvl w:val="0"/>
          <w:numId w:val="1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Explorer les modalités de publication de résumés d’audits, en coordination avec les institutions concernées.</w:t>
      </w:r>
    </w:p>
    <w:p w14:paraId="04623268" w14:textId="77777777" w:rsidR="00750F97" w:rsidRPr="00240C99" w:rsidRDefault="00750F97"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(ix) Cadre juridique nécessaire pour autoriser la divulgation systématique</w:t>
      </w:r>
    </w:p>
    <w:p w14:paraId="463480F8" w14:textId="77777777" w:rsidR="00750F97" w:rsidRPr="00240C99" w:rsidRDefault="00750F97" w:rsidP="001059BE">
      <w:pPr>
        <w:numPr>
          <w:ilvl w:val="0"/>
          <w:numId w:val="1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Réglementaire</w:t>
      </w:r>
    </w:p>
    <w:p w14:paraId="674484FB" w14:textId="77777777" w:rsidR="00750F97" w:rsidRPr="00240C99" w:rsidRDefault="00750F97" w:rsidP="001059BE">
      <w:pPr>
        <w:numPr>
          <w:ilvl w:val="0"/>
          <w:numId w:val="1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DGI ne peut initier de divulgation de données fiscales sans un cadre juridique explicite. La publication reste conditionnée à la certification des données et à leur validation dans la loi de règlement.</w:t>
      </w:r>
    </w:p>
    <w:p w14:paraId="4AAE77AF" w14:textId="2DB8C4C9" w:rsidR="00750F97" w:rsidRPr="00240C99" w:rsidRDefault="00750F97" w:rsidP="001059BE">
      <w:pPr>
        <w:numPr>
          <w:ilvl w:val="0"/>
          <w:numId w:val="1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En l’absence de disposition nationale claire, les engagements de transparence ne peuvent être pleinement mis en œuvre </w:t>
      </w:r>
      <w:r w:rsidR="008F6E0F" w:rsidRPr="00240C99">
        <w:rPr>
          <w:rFonts w:ascii="Kohinoor Devanagari" w:hAnsi="Kohinoor Devanagari" w:cs="Kohinoor Devanagari"/>
          <w:sz w:val="20"/>
          <w:szCs w:val="20"/>
        </w:rPr>
        <w:t>sur le</w:t>
      </w:r>
      <w:r w:rsidRPr="00240C99">
        <w:rPr>
          <w:rFonts w:ascii="Kohinoor Devanagari" w:hAnsi="Kohinoor Devanagari" w:cs="Kohinoor Devanagari"/>
          <w:sz w:val="20"/>
          <w:szCs w:val="20"/>
        </w:rPr>
        <w:t xml:space="preserve"> plan opérationnel.</w:t>
      </w:r>
    </w:p>
    <w:p w14:paraId="223260FF" w14:textId="77777777" w:rsidR="00750F97" w:rsidRPr="00240C99" w:rsidRDefault="00750F97" w:rsidP="001059BE">
      <w:pPr>
        <w:numPr>
          <w:ilvl w:val="0"/>
          <w:numId w:val="1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Préciser dans le cadre légal national les modalités et responsabilités de divulgation fiscale systématique, en s’alignant sur les standards de l’ITIE.</w:t>
      </w:r>
    </w:p>
    <w:p w14:paraId="59805F02" w14:textId="77777777" w:rsidR="00C774F0" w:rsidRDefault="00C774F0">
      <w:pPr>
        <w:rPr>
          <w:rFonts w:ascii="Kohinoor Devanagari" w:eastAsia="Times New Roman" w:hAnsi="Kohinoor Devanagari" w:cs="Kohinoor Devanagari"/>
          <w:b/>
          <w:bCs/>
          <w:sz w:val="20"/>
          <w:szCs w:val="20"/>
        </w:rPr>
      </w:pPr>
      <w:r>
        <w:rPr>
          <w:rFonts w:ascii="Kohinoor Devanagari" w:eastAsia="Times New Roman" w:hAnsi="Kohinoor Devanagari" w:cs="Kohinoor Devanagari"/>
          <w:b/>
          <w:bCs/>
          <w:sz w:val="20"/>
          <w:szCs w:val="20"/>
        </w:rPr>
        <w:br w:type="page"/>
      </w:r>
    </w:p>
    <w:p w14:paraId="2B0E05D1" w14:textId="2F5E8E28" w:rsidR="009A49D5" w:rsidRPr="00240C99" w:rsidRDefault="00BC2222"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 xml:space="preserve">Direction Générale </w:t>
      </w:r>
      <w:r w:rsidR="00EB26B3" w:rsidRPr="00240C99">
        <w:rPr>
          <w:rFonts w:ascii="Kohinoor Devanagari" w:eastAsia="Times New Roman" w:hAnsi="Kohinoor Devanagari" w:cs="Kohinoor Devanagari"/>
          <w:b/>
          <w:bCs/>
          <w:color w:val="auto"/>
          <w:sz w:val="20"/>
          <w:szCs w:val="20"/>
        </w:rPr>
        <w:t>du Trésor et de la Coopération Financière et Monétaire (DGTC</w:t>
      </w:r>
      <w:r w:rsidR="00C02CD1" w:rsidRPr="00240C99">
        <w:rPr>
          <w:rFonts w:ascii="Kohinoor Devanagari" w:eastAsia="Times New Roman" w:hAnsi="Kohinoor Devanagari" w:cs="Kohinoor Devanagari"/>
          <w:b/>
          <w:bCs/>
          <w:color w:val="auto"/>
          <w:sz w:val="20"/>
          <w:szCs w:val="20"/>
        </w:rPr>
        <w:t>FM</w:t>
      </w:r>
      <w:r w:rsidR="00EB26B3" w:rsidRPr="00240C99">
        <w:rPr>
          <w:rFonts w:ascii="Kohinoor Devanagari" w:eastAsia="Times New Roman" w:hAnsi="Kohinoor Devanagari" w:cs="Kohinoor Devanagari"/>
          <w:b/>
          <w:bCs/>
          <w:color w:val="auto"/>
          <w:sz w:val="20"/>
          <w:szCs w:val="20"/>
        </w:rPr>
        <w:t>)</w:t>
      </w:r>
    </w:p>
    <w:p w14:paraId="0F68E791" w14:textId="27E8DA5E"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Pratiques actuelles de divulgation des revenus publics</w:t>
      </w:r>
    </w:p>
    <w:p w14:paraId="46885016" w14:textId="77777777" w:rsidR="009A49D5" w:rsidRPr="00240C99" w:rsidRDefault="009A49D5" w:rsidP="001059BE">
      <w:pPr>
        <w:numPr>
          <w:ilvl w:val="0"/>
          <w:numId w:val="2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 et technique</w:t>
      </w:r>
    </w:p>
    <w:p w14:paraId="76752E7C" w14:textId="7E3ABCA6" w:rsidR="009A49D5" w:rsidRPr="00240C99" w:rsidRDefault="009A49D5" w:rsidP="001059BE">
      <w:pPr>
        <w:numPr>
          <w:ilvl w:val="0"/>
          <w:numId w:val="2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w:t>
      </w:r>
      <w:r w:rsidR="00DC2933" w:rsidRPr="00240C99">
        <w:rPr>
          <w:rFonts w:ascii="Kohinoor Devanagari" w:hAnsi="Kohinoor Devanagari" w:cs="Kohinoor Devanagari"/>
          <w:sz w:val="20"/>
          <w:szCs w:val="20"/>
        </w:rPr>
        <w:t>DGTCFM</w:t>
      </w:r>
      <w:r w:rsidRPr="00240C99">
        <w:rPr>
          <w:rFonts w:ascii="Kohinoor Devanagari" w:hAnsi="Kohinoor Devanagari" w:cs="Kohinoor Devanagari"/>
          <w:sz w:val="20"/>
          <w:szCs w:val="20"/>
        </w:rPr>
        <w:t xml:space="preserve"> publie régulièrement les données sur les recouvrements fiscaux et non fiscaux à travers le </w:t>
      </w:r>
      <w:r w:rsidRPr="00240C99">
        <w:rPr>
          <w:rFonts w:ascii="Kohinoor Devanagari" w:hAnsi="Kohinoor Devanagari" w:cs="Kohinoor Devanagari"/>
          <w:b/>
          <w:bCs/>
          <w:sz w:val="20"/>
          <w:szCs w:val="20"/>
        </w:rPr>
        <w:t>tableau de bord mensuel</w:t>
      </w:r>
      <w:r w:rsidRPr="00240C99">
        <w:rPr>
          <w:rFonts w:ascii="Kohinoor Devanagari" w:hAnsi="Kohinoor Devanagari" w:cs="Kohinoor Devanagari"/>
          <w:sz w:val="20"/>
          <w:szCs w:val="20"/>
        </w:rPr>
        <w:t xml:space="preserve"> des finances publiques, disponible sur le site du MINFI. Ces données sont issues de deux documents produits par la </w:t>
      </w:r>
      <w:r w:rsidR="00DC2933" w:rsidRPr="00240C99">
        <w:rPr>
          <w:rFonts w:ascii="Kohinoor Devanagari" w:hAnsi="Kohinoor Devanagari" w:cs="Kohinoor Devanagari"/>
          <w:sz w:val="20"/>
          <w:szCs w:val="20"/>
        </w:rPr>
        <w:t>DGTCFM</w:t>
      </w:r>
      <w:r w:rsidRPr="00240C99">
        <w:rPr>
          <w:rFonts w:ascii="Kohinoor Devanagari" w:hAnsi="Kohinoor Devanagari" w:cs="Kohinoor Devanagari"/>
          <w:sz w:val="20"/>
          <w:szCs w:val="20"/>
        </w:rPr>
        <w:t xml:space="preserve"> : la </w:t>
      </w:r>
      <w:r w:rsidRPr="00240C99">
        <w:rPr>
          <w:rFonts w:ascii="Kohinoor Devanagari" w:hAnsi="Kohinoor Devanagari" w:cs="Kohinoor Devanagari"/>
          <w:b/>
          <w:bCs/>
          <w:sz w:val="20"/>
          <w:szCs w:val="20"/>
        </w:rPr>
        <w:t>balance des comptes</w:t>
      </w:r>
      <w:r w:rsidRPr="00240C99">
        <w:rPr>
          <w:rFonts w:ascii="Kohinoor Devanagari" w:hAnsi="Kohinoor Devanagari" w:cs="Kohinoor Devanagari"/>
          <w:sz w:val="20"/>
          <w:szCs w:val="20"/>
        </w:rPr>
        <w:t xml:space="preserve"> et la </w:t>
      </w:r>
      <w:r w:rsidRPr="00240C99">
        <w:rPr>
          <w:rFonts w:ascii="Kohinoor Devanagari" w:hAnsi="Kohinoor Devanagari" w:cs="Kohinoor Devanagari"/>
          <w:b/>
          <w:bCs/>
          <w:sz w:val="20"/>
          <w:szCs w:val="20"/>
        </w:rPr>
        <w:t>situation résumée des opérations du Trésor</w:t>
      </w:r>
      <w:r w:rsidRPr="00240C99">
        <w:rPr>
          <w:rFonts w:ascii="Kohinoor Devanagari" w:hAnsi="Kohinoor Devanagari" w:cs="Kohinoor Devanagari"/>
          <w:sz w:val="20"/>
          <w:szCs w:val="20"/>
        </w:rPr>
        <w:t>. Le rapport semestriel d’exécution budgétaire, la loi de finances, la loi de règlement et les rapports de la Chambre des comptes sont également publiés.</w:t>
      </w:r>
    </w:p>
    <w:p w14:paraId="08854ABA" w14:textId="77777777" w:rsidR="009A49D5" w:rsidRPr="00240C99" w:rsidRDefault="009A49D5" w:rsidP="001059BE">
      <w:pPr>
        <w:numPr>
          <w:ilvl w:val="0"/>
          <w:numId w:val="2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Ces pratiques renforcent la transparence budgétaire.</w:t>
      </w:r>
    </w:p>
    <w:p w14:paraId="7C9088D3" w14:textId="77777777" w:rsidR="009A49D5" w:rsidRPr="00240C99" w:rsidRDefault="009A49D5" w:rsidP="001059BE">
      <w:pPr>
        <w:numPr>
          <w:ilvl w:val="0"/>
          <w:numId w:val="2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Ajouter une désagrégation sectorielle ou par entreprise dans ces publications pour renforcer la lisibilité des revenus issus des industries extractives.</w:t>
      </w:r>
    </w:p>
    <w:p w14:paraId="4FDDFCE3" w14:textId="77777777"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Systèmes d'information et traçabilité dans PATRIMONIE</w:t>
      </w:r>
    </w:p>
    <w:p w14:paraId="123B8295" w14:textId="77777777" w:rsidR="009A49D5" w:rsidRPr="00240C99" w:rsidRDefault="009A49D5" w:rsidP="001059BE">
      <w:pPr>
        <w:numPr>
          <w:ilvl w:val="0"/>
          <w:numId w:val="2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w:t>
      </w:r>
    </w:p>
    <w:p w14:paraId="100D5A1C" w14:textId="77777777" w:rsidR="009A49D5" w:rsidRPr="00240C99" w:rsidRDefault="009A49D5" w:rsidP="001059BE">
      <w:pPr>
        <w:numPr>
          <w:ilvl w:val="0"/>
          <w:numId w:val="2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système </w:t>
      </w:r>
      <w:r w:rsidRPr="00240C99">
        <w:rPr>
          <w:rFonts w:ascii="Kohinoor Devanagari" w:hAnsi="Kohinoor Devanagari" w:cs="Kohinoor Devanagari"/>
          <w:b/>
          <w:bCs/>
          <w:sz w:val="20"/>
          <w:szCs w:val="20"/>
        </w:rPr>
        <w:t>PATRIMONIE</w:t>
      </w:r>
      <w:r w:rsidRPr="00240C99">
        <w:rPr>
          <w:rFonts w:ascii="Kohinoor Devanagari" w:hAnsi="Kohinoor Devanagari" w:cs="Kohinoor Devanagari"/>
          <w:sz w:val="20"/>
          <w:szCs w:val="20"/>
        </w:rPr>
        <w:t>, interconnecté avec les systèmes d’assiette CAMSIS (DGD) et HARMONIES (DGI), gère l’encaissement, la comptabilité et les restitutions. Il peut capter des données auxiliaires comme l’identifiant du contribuable, le numéro de quittance et la nature des flux. Toutes les informations présentes dans les systèmes d’assiette peuvent être intégrées dans PATRIMONIE via des requêtes spécifiques.</w:t>
      </w:r>
    </w:p>
    <w:p w14:paraId="6B469EB0" w14:textId="77777777" w:rsidR="009A49D5" w:rsidRPr="00240C99" w:rsidRDefault="009A49D5" w:rsidP="001059BE">
      <w:pPr>
        <w:numPr>
          <w:ilvl w:val="0"/>
          <w:numId w:val="2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 système permet une traçabilité complète des flux budgétaires.</w:t>
      </w:r>
    </w:p>
    <w:p w14:paraId="0F42C0D3" w14:textId="77777777" w:rsidR="009A49D5" w:rsidRPr="00240C99" w:rsidRDefault="009A49D5" w:rsidP="001059BE">
      <w:pPr>
        <w:numPr>
          <w:ilvl w:val="0"/>
          <w:numId w:val="2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Développer un module de requêtage automatique permettant de générer des rapports désagrégés utilisables dans les rapports ITIE.</w:t>
      </w:r>
    </w:p>
    <w:p w14:paraId="0EEC0DEF" w14:textId="77777777"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Réconciliation interinstitutionnelle consolidée</w:t>
      </w:r>
    </w:p>
    <w:p w14:paraId="10DF54E8" w14:textId="77777777" w:rsidR="009A49D5" w:rsidRPr="00240C99" w:rsidRDefault="009A49D5" w:rsidP="001059BE">
      <w:pPr>
        <w:numPr>
          <w:ilvl w:val="0"/>
          <w:numId w:val="2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w:t>
      </w:r>
    </w:p>
    <w:p w14:paraId="62C8FBE8" w14:textId="541D8832" w:rsidR="009A49D5" w:rsidRPr="00240C99" w:rsidRDefault="009A49D5" w:rsidP="001059BE">
      <w:pPr>
        <w:numPr>
          <w:ilvl w:val="0"/>
          <w:numId w:val="2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Un </w:t>
      </w:r>
      <w:r w:rsidRPr="00240C99">
        <w:rPr>
          <w:rFonts w:ascii="Kohinoor Devanagari" w:hAnsi="Kohinoor Devanagari" w:cs="Kohinoor Devanagari"/>
          <w:b/>
          <w:bCs/>
          <w:sz w:val="20"/>
          <w:szCs w:val="20"/>
        </w:rPr>
        <w:t>comité de validation des états financiers</w:t>
      </w:r>
      <w:r w:rsidRPr="00240C99">
        <w:rPr>
          <w:rFonts w:ascii="Kohinoor Devanagari" w:hAnsi="Kohinoor Devanagari" w:cs="Kohinoor Devanagari"/>
          <w:sz w:val="20"/>
          <w:szCs w:val="20"/>
        </w:rPr>
        <w:t xml:space="preserve"> du MINFI se réunit chaque mois et regroupe la DGI, la DGD, la DGB, la </w:t>
      </w:r>
      <w:r w:rsidR="00DC2933" w:rsidRPr="00240C99">
        <w:rPr>
          <w:rFonts w:ascii="Kohinoor Devanagari" w:hAnsi="Kohinoor Devanagari" w:cs="Kohinoor Devanagari"/>
          <w:sz w:val="20"/>
          <w:szCs w:val="20"/>
        </w:rPr>
        <w:t>DGTCFM</w:t>
      </w:r>
      <w:r w:rsidRPr="00240C99">
        <w:rPr>
          <w:rFonts w:ascii="Kohinoor Devanagari" w:hAnsi="Kohinoor Devanagari" w:cs="Kohinoor Devanagari"/>
          <w:sz w:val="20"/>
          <w:szCs w:val="20"/>
        </w:rPr>
        <w:t>, la CAA et le MINEPAT. Un second comité se concentre sur les recettes non fiscales.</w:t>
      </w:r>
    </w:p>
    <w:p w14:paraId="5374D2E4" w14:textId="77777777" w:rsidR="009A49D5" w:rsidRPr="00240C99" w:rsidRDefault="009A49D5" w:rsidP="001059BE">
      <w:pPr>
        <w:numPr>
          <w:ilvl w:val="0"/>
          <w:numId w:val="2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Ces mécanismes assurent une cohérence mensuelle des données entre administrations.</w:t>
      </w:r>
    </w:p>
    <w:p w14:paraId="43CB45FA" w14:textId="77777777" w:rsidR="009A49D5" w:rsidRPr="00240C99" w:rsidRDefault="009A49D5" w:rsidP="001059BE">
      <w:pPr>
        <w:numPr>
          <w:ilvl w:val="0"/>
          <w:numId w:val="2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Capitaliser sur ces comités pour documenter systématiquement les flux consolidés dans le cadre des exigences ITIE.</w:t>
      </w:r>
    </w:p>
    <w:p w14:paraId="52A58CE0"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684856CB" w14:textId="2CC9BEB2"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(iv) Revenus en nature – Or collecté par la SONAMINE</w:t>
      </w:r>
    </w:p>
    <w:p w14:paraId="3A3694D2" w14:textId="77777777" w:rsidR="009A49D5" w:rsidRPr="00240C99" w:rsidRDefault="009A49D5" w:rsidP="001059BE">
      <w:pPr>
        <w:numPr>
          <w:ilvl w:val="0"/>
          <w:numId w:val="2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Opérationnel et institutionnel</w:t>
      </w:r>
    </w:p>
    <w:p w14:paraId="5AF8056B" w14:textId="4A1DF53F" w:rsidR="009A49D5" w:rsidRPr="00240C99" w:rsidRDefault="009A49D5" w:rsidP="001059BE">
      <w:pPr>
        <w:numPr>
          <w:ilvl w:val="0"/>
          <w:numId w:val="2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Depuis 2022, la SONAMINE encaisse chaque mois des quantités d’or en nature sur la base des déclarations des sociétés minières. Un </w:t>
      </w:r>
      <w:r w:rsidRPr="00240C99">
        <w:rPr>
          <w:rFonts w:ascii="Kohinoor Devanagari" w:hAnsi="Kohinoor Devanagari" w:cs="Kohinoor Devanagari"/>
          <w:b/>
          <w:bCs/>
          <w:sz w:val="20"/>
          <w:szCs w:val="20"/>
        </w:rPr>
        <w:t>comité multisectoriel</w:t>
      </w:r>
      <w:r w:rsidRPr="00240C99">
        <w:rPr>
          <w:rFonts w:ascii="Kohinoor Devanagari" w:hAnsi="Kohinoor Devanagari" w:cs="Kohinoor Devanagari"/>
          <w:sz w:val="20"/>
          <w:szCs w:val="20"/>
        </w:rPr>
        <w:t xml:space="preserve"> (SONAMINE, DGI, DGD, DGB, </w:t>
      </w:r>
      <w:r w:rsidR="00DC2933" w:rsidRPr="00240C99">
        <w:rPr>
          <w:rFonts w:ascii="Kohinoor Devanagari" w:hAnsi="Kohinoor Devanagari" w:cs="Kohinoor Devanagari"/>
          <w:sz w:val="20"/>
          <w:szCs w:val="20"/>
        </w:rPr>
        <w:t>DGTCFM</w:t>
      </w:r>
      <w:r w:rsidRPr="00240C99">
        <w:rPr>
          <w:rFonts w:ascii="Kohinoor Devanagari" w:hAnsi="Kohinoor Devanagari" w:cs="Kohinoor Devanagari"/>
          <w:sz w:val="20"/>
          <w:szCs w:val="20"/>
        </w:rPr>
        <w:t xml:space="preserve">, direction juridique du MINFI, huissier de justice) réceptionne l’or, établit un procès-verbal, puis procède à la fusion et l’affinage (99,99%) via une société agréée. Une </w:t>
      </w:r>
      <w:r w:rsidRPr="00240C99">
        <w:rPr>
          <w:rFonts w:ascii="Kohinoor Devanagari" w:hAnsi="Kohinoor Devanagari" w:cs="Kohinoor Devanagari"/>
          <w:b/>
          <w:bCs/>
          <w:sz w:val="20"/>
          <w:szCs w:val="20"/>
        </w:rPr>
        <w:t>double comptabilisation</w:t>
      </w:r>
      <w:r w:rsidRPr="00240C99">
        <w:rPr>
          <w:rFonts w:ascii="Kohinoor Devanagari" w:hAnsi="Kohinoor Devanagari" w:cs="Kohinoor Devanagari"/>
          <w:sz w:val="20"/>
          <w:szCs w:val="20"/>
        </w:rPr>
        <w:t xml:space="preserve"> est opérée : d’abord en comptabilité matière, puis en recette budgétaire après valorisation au prix du jour.</w:t>
      </w:r>
    </w:p>
    <w:p w14:paraId="77F4BE7F" w14:textId="77777777" w:rsidR="009A49D5" w:rsidRPr="00240C99" w:rsidRDefault="009A49D5" w:rsidP="001059BE">
      <w:pPr>
        <w:numPr>
          <w:ilvl w:val="0"/>
          <w:numId w:val="2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 processus est robuste, bien que le temps d’affinage retarde la comptabilisation financière.</w:t>
      </w:r>
    </w:p>
    <w:p w14:paraId="033D0C2C" w14:textId="77777777" w:rsidR="009A49D5" w:rsidRPr="00240C99" w:rsidRDefault="009A49D5" w:rsidP="001059BE">
      <w:pPr>
        <w:numPr>
          <w:ilvl w:val="0"/>
          <w:numId w:val="2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Mettre en place une publication mensuelle des volumes réceptionnés via la comptabilité matière, en précisant les délais d’affinage.</w:t>
      </w:r>
    </w:p>
    <w:p w14:paraId="5808952D" w14:textId="77777777"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 Données sur les participations de l’État dans les entreprises</w:t>
      </w:r>
    </w:p>
    <w:p w14:paraId="5C4FCB18" w14:textId="77777777" w:rsidR="009A49D5" w:rsidRPr="00240C99" w:rsidRDefault="009A49D5" w:rsidP="001059BE">
      <w:pPr>
        <w:numPr>
          <w:ilvl w:val="0"/>
          <w:numId w:val="2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Légal et budgétaire</w:t>
      </w:r>
    </w:p>
    <w:p w14:paraId="7C2F5033" w14:textId="77777777" w:rsidR="009A49D5" w:rsidRPr="00240C99" w:rsidRDefault="009A49D5" w:rsidP="001059BE">
      <w:pPr>
        <w:numPr>
          <w:ilvl w:val="0"/>
          <w:numId w:val="2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L’annexe 9 de la loi de règlement présente les participations de l’État dans les entreprises, les dividendes reçus, les pourcentages de détention et les principaux indicateurs financiers. Toutefois, cette information ne devient publique qu’à la publication de la loi de règlement, ce qui peut prendre du retard selon le calendrier budgétaire annuel.</w:t>
      </w:r>
    </w:p>
    <w:p w14:paraId="3E24B7BA" w14:textId="77777777" w:rsidR="009A49D5" w:rsidRPr="00240C99" w:rsidRDefault="009A49D5" w:rsidP="001059BE">
      <w:pPr>
        <w:numPr>
          <w:ilvl w:val="0"/>
          <w:numId w:val="2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Bien que complète, cette source n’offre pas une divulgation systématique en temps réel.</w:t>
      </w:r>
    </w:p>
    <w:p w14:paraId="21A93682" w14:textId="77777777" w:rsidR="009A49D5" w:rsidRPr="00240C99" w:rsidRDefault="009A49D5" w:rsidP="001059BE">
      <w:pPr>
        <w:numPr>
          <w:ilvl w:val="0"/>
          <w:numId w:val="2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Mettre en place un mécanisme de pré-divulgation technique des données agrégées avant la publication officielle de la loi de règlement ; prévoir un format exploitable (Excel, CSV) dès la disponibilité de l’annexe pour faciliter son traitement.</w:t>
      </w:r>
    </w:p>
    <w:p w14:paraId="739CEE31" w14:textId="77777777"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(vi) Transferts infranationaux</w:t>
      </w:r>
    </w:p>
    <w:p w14:paraId="666ACD40" w14:textId="77777777" w:rsidR="009A49D5" w:rsidRPr="00240C99" w:rsidRDefault="009A49D5" w:rsidP="001059BE">
      <w:pPr>
        <w:numPr>
          <w:ilvl w:val="0"/>
          <w:numId w:val="2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 et financier</w:t>
      </w:r>
    </w:p>
    <w:p w14:paraId="2A510F68" w14:textId="77777777" w:rsidR="009A49D5" w:rsidRPr="00240C99" w:rsidRDefault="009A49D5" w:rsidP="001059BE">
      <w:pPr>
        <w:numPr>
          <w:ilvl w:val="0"/>
          <w:numId w:val="2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réforme de la fiscalité locale en cours prévoit le versement direct de certaines recettes (ex. taxes sur carrières) aux communes. Ces transferts sont réalisés via le </w:t>
      </w:r>
      <w:r w:rsidRPr="00240C99">
        <w:rPr>
          <w:rFonts w:ascii="Kohinoor Devanagari" w:hAnsi="Kohinoor Devanagari" w:cs="Kohinoor Devanagari"/>
          <w:b/>
          <w:bCs/>
          <w:sz w:val="20"/>
          <w:szCs w:val="20"/>
        </w:rPr>
        <w:t>RIB</w:t>
      </w:r>
      <w:r w:rsidRPr="00240C99">
        <w:rPr>
          <w:rFonts w:ascii="Kohinoor Devanagari" w:hAnsi="Kohinoor Devanagari" w:cs="Kohinoor Devanagari"/>
          <w:sz w:val="20"/>
          <w:szCs w:val="20"/>
        </w:rPr>
        <w:t xml:space="preserve"> des communes ouvert auprès du Trésor. PATRIMONIE contient des données désagrégées par société, type de flux et commune.</w:t>
      </w:r>
    </w:p>
    <w:p w14:paraId="02C8C5A1" w14:textId="77777777" w:rsidR="009A49D5" w:rsidRPr="00240C99" w:rsidRDefault="009A49D5" w:rsidP="001059BE">
      <w:pPr>
        <w:numPr>
          <w:ilvl w:val="0"/>
          <w:numId w:val="2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 traçabilité est possible, bien que l’exploitation des données requière des outils.</w:t>
      </w:r>
    </w:p>
    <w:p w14:paraId="6B52517B" w14:textId="77777777" w:rsidR="009A49D5" w:rsidRPr="00240C99" w:rsidRDefault="009A49D5" w:rsidP="001059BE">
      <w:pPr>
        <w:numPr>
          <w:ilvl w:val="0"/>
          <w:numId w:val="2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Développer un </w:t>
      </w:r>
      <w:r w:rsidRPr="00240C99">
        <w:rPr>
          <w:rFonts w:ascii="Kohinoor Devanagari" w:hAnsi="Kohinoor Devanagari" w:cs="Kohinoor Devanagari"/>
          <w:b/>
          <w:bCs/>
          <w:sz w:val="20"/>
          <w:szCs w:val="20"/>
        </w:rPr>
        <w:t>tableau de bord des transferts infranationaux</w:t>
      </w:r>
      <w:r w:rsidRPr="00240C99">
        <w:rPr>
          <w:rFonts w:ascii="Kohinoor Devanagari" w:hAnsi="Kohinoor Devanagari" w:cs="Kohinoor Devanagari"/>
          <w:sz w:val="20"/>
          <w:szCs w:val="20"/>
        </w:rPr>
        <w:t xml:space="preserve"> à partir de PATRIMONIE.</w:t>
      </w:r>
    </w:p>
    <w:p w14:paraId="500CCB07" w14:textId="77777777"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(vii) Interventions directes de la SNH : divulgation partielle et contraintes liées à la confidentialité</w:t>
      </w:r>
    </w:p>
    <w:p w14:paraId="15D5B951" w14:textId="77777777" w:rsidR="009A49D5" w:rsidRPr="00240C99" w:rsidRDefault="009A49D5" w:rsidP="001059BE">
      <w:pPr>
        <w:numPr>
          <w:ilvl w:val="0"/>
          <w:numId w:val="2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 et institutionnel</w:t>
      </w:r>
    </w:p>
    <w:p w14:paraId="43330FDF" w14:textId="77777777" w:rsidR="009A49D5" w:rsidRPr="00240C99" w:rsidRDefault="009A49D5" w:rsidP="001059BE">
      <w:pPr>
        <w:numPr>
          <w:ilvl w:val="0"/>
          <w:numId w:val="2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SNH effectue des transferts budgétaires au Trésor public ainsi que des interventions directes pour le compte de l’État, notamment dans des domaines sensibles comme la sécurité. Ces transferts sont divulgués à la fois :</w:t>
      </w:r>
    </w:p>
    <w:p w14:paraId="18F4C7BD" w14:textId="77777777" w:rsidR="009A49D5" w:rsidRPr="00240C99" w:rsidRDefault="009A49D5" w:rsidP="001059BE">
      <w:pPr>
        <w:numPr>
          <w:ilvl w:val="1"/>
          <w:numId w:val="28"/>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dans les publications de la SNH (rapports annuels, site web), et</w:t>
      </w:r>
    </w:p>
    <w:p w14:paraId="019F5C74" w14:textId="77777777" w:rsidR="009A49D5" w:rsidRPr="00240C99" w:rsidRDefault="009A49D5" w:rsidP="001059BE">
      <w:pPr>
        <w:numPr>
          <w:ilvl w:val="1"/>
          <w:numId w:val="28"/>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dans les documents budgétaires de l’État (loi de règlement, rapports d’exécution).</w:t>
      </w:r>
    </w:p>
    <w:p w14:paraId="59AA89DB" w14:textId="77777777" w:rsidR="009A49D5" w:rsidRPr="00240C99" w:rsidRDefault="009A49D5"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Toutefois, </w:t>
      </w:r>
      <w:r w:rsidRPr="00240C99">
        <w:rPr>
          <w:rFonts w:ascii="Kohinoor Devanagari" w:hAnsi="Kohinoor Devanagari" w:cs="Kohinoor Devanagari"/>
          <w:b/>
          <w:bCs/>
          <w:sz w:val="20"/>
          <w:szCs w:val="20"/>
        </w:rPr>
        <w:t>la divulgation reste agrégée</w:t>
      </w:r>
      <w:r w:rsidRPr="00240C99">
        <w:rPr>
          <w:rFonts w:ascii="Kohinoor Devanagari" w:hAnsi="Kohinoor Devanagari" w:cs="Kohinoor Devanagari"/>
          <w:sz w:val="20"/>
          <w:szCs w:val="20"/>
        </w:rPr>
        <w:t xml:space="preserve">, sans distinction claire entre transferts directs et indirects. Les détails relatifs aux bénéficiaires, montants par type d’intervention, ou justification des dépenses directes </w:t>
      </w:r>
      <w:r w:rsidRPr="00240C99">
        <w:rPr>
          <w:rFonts w:ascii="Kohinoor Devanagari" w:hAnsi="Kohinoor Devanagari" w:cs="Kohinoor Devanagari"/>
          <w:b/>
          <w:bCs/>
          <w:sz w:val="20"/>
          <w:szCs w:val="20"/>
        </w:rPr>
        <w:t>ne sont pas publiés</w:t>
      </w:r>
      <w:r w:rsidRPr="00240C99">
        <w:rPr>
          <w:rFonts w:ascii="Kohinoor Devanagari" w:hAnsi="Kohinoor Devanagari" w:cs="Kohinoor Devanagari"/>
          <w:sz w:val="20"/>
          <w:szCs w:val="20"/>
        </w:rPr>
        <w:t xml:space="preserve">. De plus, la </w:t>
      </w:r>
      <w:r w:rsidRPr="00240C99">
        <w:rPr>
          <w:rFonts w:ascii="Kohinoor Devanagari" w:hAnsi="Kohinoor Devanagari" w:cs="Kohinoor Devanagari"/>
          <w:b/>
          <w:bCs/>
          <w:sz w:val="20"/>
          <w:szCs w:val="20"/>
        </w:rPr>
        <w:t>périodicité de publication n’est pas systématique</w:t>
      </w:r>
      <w:r w:rsidRPr="00240C99">
        <w:rPr>
          <w:rFonts w:ascii="Kohinoor Devanagari" w:hAnsi="Kohinoor Devanagari" w:cs="Kohinoor Devanagari"/>
          <w:sz w:val="20"/>
          <w:szCs w:val="20"/>
        </w:rPr>
        <w:t>.</w:t>
      </w:r>
    </w:p>
    <w:p w14:paraId="7E778DD8" w14:textId="77777777" w:rsidR="009A49D5" w:rsidRPr="00240C99" w:rsidRDefault="009A49D5"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Bien que ces dépenses soient </w:t>
      </w:r>
      <w:r w:rsidRPr="00240C99">
        <w:rPr>
          <w:rFonts w:ascii="Kohinoor Devanagari" w:hAnsi="Kohinoor Devanagari" w:cs="Kohinoor Devanagari"/>
          <w:b/>
          <w:bCs/>
          <w:sz w:val="20"/>
          <w:szCs w:val="20"/>
        </w:rPr>
        <w:t>intégrées dans les flux budgétaires globaux</w:t>
      </w:r>
      <w:r w:rsidRPr="00240C99">
        <w:rPr>
          <w:rFonts w:ascii="Kohinoor Devanagari" w:hAnsi="Kohinoor Devanagari" w:cs="Kohinoor Devanagari"/>
          <w:sz w:val="20"/>
          <w:szCs w:val="20"/>
        </w:rPr>
        <w:t xml:space="preserve">, elles </w:t>
      </w:r>
      <w:r w:rsidRPr="00240C99">
        <w:rPr>
          <w:rFonts w:ascii="Kohinoor Devanagari" w:hAnsi="Kohinoor Devanagari" w:cs="Kohinoor Devanagari"/>
          <w:b/>
          <w:bCs/>
          <w:sz w:val="20"/>
          <w:szCs w:val="20"/>
        </w:rPr>
        <w:t>ne sont pas désagrégées dans les publications officielles</w:t>
      </w:r>
      <w:r w:rsidRPr="00240C99">
        <w:rPr>
          <w:rFonts w:ascii="Kohinoor Devanagari" w:hAnsi="Kohinoor Devanagari" w:cs="Kohinoor Devanagari"/>
          <w:sz w:val="20"/>
          <w:szCs w:val="20"/>
        </w:rPr>
        <w:t xml:space="preserve">, en l’absence d’un mécanisme de divulgation adapté. Cette faiblesse a été </w:t>
      </w:r>
      <w:r w:rsidRPr="00240C99">
        <w:rPr>
          <w:rFonts w:ascii="Kohinoor Devanagari" w:hAnsi="Kohinoor Devanagari" w:cs="Kohinoor Devanagari"/>
          <w:b/>
          <w:bCs/>
          <w:sz w:val="20"/>
          <w:szCs w:val="20"/>
        </w:rPr>
        <w:t>soulignée lors de la dernière validation ITIE</w:t>
      </w:r>
      <w:r w:rsidRPr="00240C99">
        <w:rPr>
          <w:rFonts w:ascii="Kohinoor Devanagari" w:hAnsi="Kohinoor Devanagari" w:cs="Kohinoor Devanagari"/>
          <w:sz w:val="20"/>
          <w:szCs w:val="20"/>
        </w:rPr>
        <w:t>, qui a mis en avant l’absence de ventilation, de justification, et de cadre de divulgation pour les interventions directes.</w:t>
      </w:r>
    </w:p>
    <w:p w14:paraId="4B89835D" w14:textId="77777777" w:rsidR="009A49D5" w:rsidRPr="00240C99" w:rsidRDefault="009A49D5" w:rsidP="001059BE">
      <w:pPr>
        <w:numPr>
          <w:ilvl w:val="0"/>
          <w:numId w:val="2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situation limite la transparence sur l’usage des revenus extractifs et constitue un obstacle à la divulgation systématique, en contradiction avec les exigences 5.1.c (fonds hors budget) et 6.2 (dépenses quasi budgétaires) de la Norme ITIE 2023.</w:t>
      </w:r>
    </w:p>
    <w:p w14:paraId="75817633" w14:textId="77777777" w:rsidR="009A49D5" w:rsidRPr="00240C99" w:rsidRDefault="009A49D5" w:rsidP="001059BE">
      <w:pPr>
        <w:numPr>
          <w:ilvl w:val="0"/>
          <w:numId w:val="2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02A0868E" w14:textId="77777777" w:rsidR="009A49D5" w:rsidRPr="00240C99" w:rsidRDefault="009A49D5" w:rsidP="001059BE">
      <w:pPr>
        <w:numPr>
          <w:ilvl w:val="1"/>
          <w:numId w:val="28"/>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Formaliser un </w:t>
      </w:r>
      <w:r w:rsidRPr="00240C99">
        <w:rPr>
          <w:rFonts w:ascii="Kohinoor Devanagari" w:hAnsi="Kohinoor Devanagari" w:cs="Kohinoor Devanagari"/>
          <w:b/>
          <w:bCs/>
          <w:sz w:val="20"/>
          <w:szCs w:val="20"/>
        </w:rPr>
        <w:t>cadre de divulgation systématique</w:t>
      </w:r>
      <w:r w:rsidRPr="00240C99">
        <w:rPr>
          <w:rFonts w:ascii="Kohinoor Devanagari" w:hAnsi="Kohinoor Devanagari" w:cs="Kohinoor Devanagari"/>
          <w:sz w:val="20"/>
          <w:szCs w:val="20"/>
        </w:rPr>
        <w:t xml:space="preserve"> pour les interventions directes de la SNH, en distinguant clairement transferts directs et indirects.</w:t>
      </w:r>
    </w:p>
    <w:p w14:paraId="6356AB28" w14:textId="77777777" w:rsidR="009A49D5" w:rsidRPr="00240C99" w:rsidRDefault="009A49D5" w:rsidP="001059BE">
      <w:pPr>
        <w:numPr>
          <w:ilvl w:val="1"/>
          <w:numId w:val="28"/>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Définir, en lien avec le MINFI, des </w:t>
      </w:r>
      <w:r w:rsidRPr="00240C99">
        <w:rPr>
          <w:rFonts w:ascii="Kohinoor Devanagari" w:hAnsi="Kohinoor Devanagari" w:cs="Kohinoor Devanagari"/>
          <w:b/>
          <w:bCs/>
          <w:sz w:val="20"/>
          <w:szCs w:val="20"/>
        </w:rPr>
        <w:t>modalités de publication différée ou agrégée</w:t>
      </w:r>
      <w:r w:rsidRPr="00240C99">
        <w:rPr>
          <w:rFonts w:ascii="Kohinoor Devanagari" w:hAnsi="Kohinoor Devanagari" w:cs="Kohinoor Devanagari"/>
          <w:sz w:val="20"/>
          <w:szCs w:val="20"/>
        </w:rPr>
        <w:t xml:space="preserve"> pour les dépenses sensibles.</w:t>
      </w:r>
    </w:p>
    <w:p w14:paraId="0EF118DE" w14:textId="77777777" w:rsidR="009A49D5" w:rsidRPr="00240C99" w:rsidRDefault="009A49D5" w:rsidP="001059BE">
      <w:pPr>
        <w:numPr>
          <w:ilvl w:val="1"/>
          <w:numId w:val="28"/>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Introduire dans les rapports ITIE un </w:t>
      </w:r>
      <w:r w:rsidRPr="00240C99">
        <w:rPr>
          <w:rFonts w:ascii="Kohinoor Devanagari" w:hAnsi="Kohinoor Devanagari" w:cs="Kohinoor Devanagari"/>
          <w:b/>
          <w:bCs/>
          <w:sz w:val="20"/>
          <w:szCs w:val="20"/>
        </w:rPr>
        <w:t>encadré narratif validé institutionnellement</w:t>
      </w:r>
      <w:r w:rsidRPr="00240C99">
        <w:rPr>
          <w:rFonts w:ascii="Kohinoor Devanagari" w:hAnsi="Kohinoor Devanagari" w:cs="Kohinoor Devanagari"/>
          <w:sz w:val="20"/>
          <w:szCs w:val="20"/>
        </w:rPr>
        <w:t>, expliquant la nature des dépenses couvertes, les limites de divulgation, et les justifications associées.</w:t>
      </w:r>
    </w:p>
    <w:p w14:paraId="5253C661" w14:textId="77777777" w:rsidR="009A49D5" w:rsidRPr="00240C99" w:rsidRDefault="009A49D5" w:rsidP="001059BE">
      <w:pPr>
        <w:numPr>
          <w:ilvl w:val="1"/>
          <w:numId w:val="31"/>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Intégrer ces améliorations dans la </w:t>
      </w:r>
      <w:r w:rsidRPr="00240C99">
        <w:rPr>
          <w:rFonts w:ascii="Kohinoor Devanagari" w:hAnsi="Kohinoor Devanagari" w:cs="Kohinoor Devanagari"/>
          <w:b/>
          <w:bCs/>
          <w:sz w:val="20"/>
          <w:szCs w:val="20"/>
        </w:rPr>
        <w:t>feuille de route pour la divulgation systématique</w:t>
      </w:r>
      <w:r w:rsidRPr="00240C99">
        <w:rPr>
          <w:rFonts w:ascii="Kohinoor Devanagari" w:hAnsi="Kohinoor Devanagari" w:cs="Kohinoor Devanagari"/>
          <w:sz w:val="20"/>
          <w:szCs w:val="20"/>
        </w:rPr>
        <w:t>, avec un appui technique à la structuration des flux à publier.</w:t>
      </w:r>
    </w:p>
    <w:p w14:paraId="732A2C9C"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72EE46E2" w14:textId="341A61E4"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(viii) Divulgation désagrégée par projet</w:t>
      </w:r>
    </w:p>
    <w:p w14:paraId="3A224F87" w14:textId="77777777" w:rsidR="009A49D5" w:rsidRPr="00240C99" w:rsidRDefault="009A49D5" w:rsidP="001059BE">
      <w:pPr>
        <w:numPr>
          <w:ilvl w:val="0"/>
          <w:numId w:val="2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procédural</w:t>
      </w:r>
    </w:p>
    <w:p w14:paraId="5151B899" w14:textId="77777777" w:rsidR="009A49D5" w:rsidRPr="00240C99" w:rsidRDefault="009A49D5" w:rsidP="001059BE">
      <w:pPr>
        <w:numPr>
          <w:ilvl w:val="0"/>
          <w:numId w:val="2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Les flux budgétaires ne sont pas toujours désagrégés par projet. Cela est surtout problématique pour les entreprises minières, sauf si le projet est enregistré comme entité fiscale propre.</w:t>
      </w:r>
    </w:p>
    <w:p w14:paraId="47239528" w14:textId="77777777" w:rsidR="009A49D5" w:rsidRPr="00240C99" w:rsidRDefault="009A49D5" w:rsidP="001059BE">
      <w:pPr>
        <w:numPr>
          <w:ilvl w:val="0"/>
          <w:numId w:val="2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situation limite la conformité avec l’exigence 4.7 de la Norme ITIE.</w:t>
      </w:r>
    </w:p>
    <w:p w14:paraId="3B1DF5A0" w14:textId="77777777" w:rsidR="009A49D5" w:rsidRPr="00240C99" w:rsidRDefault="009A49D5" w:rsidP="001059BE">
      <w:pPr>
        <w:numPr>
          <w:ilvl w:val="0"/>
          <w:numId w:val="2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Ajouter un identifiant de projet aux formats de quittance dans PATRIMONIE ; créer un filtre de recherche par projet ; établir un protocole d’échange avec les administrations techniques.</w:t>
      </w:r>
    </w:p>
    <w:p w14:paraId="0764C9A7" w14:textId="77777777" w:rsidR="009A49D5" w:rsidRPr="00240C99" w:rsidRDefault="009A49D5"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(ix) Besoins institutionnels et techniques</w:t>
      </w:r>
    </w:p>
    <w:p w14:paraId="4098CCEE" w14:textId="77777777" w:rsidR="009A49D5" w:rsidRPr="00240C99" w:rsidRDefault="009A49D5" w:rsidP="001059BE">
      <w:pPr>
        <w:numPr>
          <w:ilvl w:val="0"/>
          <w:numId w:val="2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Besoins exprimés</w:t>
      </w:r>
      <w:r w:rsidRPr="00240C99">
        <w:rPr>
          <w:rFonts w:ascii="Kohinoor Devanagari" w:hAnsi="Kohinoor Devanagari" w:cs="Kohinoor Devanagari"/>
          <w:sz w:val="20"/>
          <w:szCs w:val="20"/>
        </w:rPr>
        <w:t xml:space="preserve"> :</w:t>
      </w:r>
    </w:p>
    <w:p w14:paraId="40FAA851" w14:textId="77777777" w:rsidR="009A49D5" w:rsidRPr="00240C99" w:rsidRDefault="009A49D5" w:rsidP="001059BE">
      <w:pPr>
        <w:numPr>
          <w:ilvl w:val="1"/>
          <w:numId w:val="30"/>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Rédiger un </w:t>
      </w:r>
      <w:r w:rsidRPr="00240C99">
        <w:rPr>
          <w:rFonts w:ascii="Kohinoor Devanagari" w:hAnsi="Kohinoor Devanagari" w:cs="Kohinoor Devanagari"/>
          <w:b/>
          <w:bCs/>
          <w:sz w:val="20"/>
          <w:szCs w:val="20"/>
        </w:rPr>
        <w:t>cahier des charges</w:t>
      </w:r>
      <w:r w:rsidRPr="00240C99">
        <w:rPr>
          <w:rFonts w:ascii="Kohinoor Devanagari" w:hAnsi="Kohinoor Devanagari" w:cs="Kohinoor Devanagari"/>
          <w:sz w:val="20"/>
          <w:szCs w:val="20"/>
        </w:rPr>
        <w:t xml:space="preserve"> pour l’extraction ciblée et le requêtage automatisé des données dans PATRIMONIE.</w:t>
      </w:r>
    </w:p>
    <w:p w14:paraId="6B180DCE" w14:textId="77777777" w:rsidR="009A49D5" w:rsidRPr="00240C99" w:rsidRDefault="009A49D5" w:rsidP="001059BE">
      <w:pPr>
        <w:numPr>
          <w:ilvl w:val="1"/>
          <w:numId w:val="30"/>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Élaborer un </w:t>
      </w:r>
      <w:r w:rsidRPr="00240C99">
        <w:rPr>
          <w:rFonts w:ascii="Kohinoor Devanagari" w:hAnsi="Kohinoor Devanagari" w:cs="Kohinoor Devanagari"/>
          <w:b/>
          <w:bCs/>
          <w:sz w:val="20"/>
          <w:szCs w:val="20"/>
        </w:rPr>
        <w:t>manuel technique d’exploitation</w:t>
      </w:r>
      <w:r w:rsidRPr="00240C99">
        <w:rPr>
          <w:rFonts w:ascii="Kohinoor Devanagari" w:hAnsi="Kohinoor Devanagari" w:cs="Kohinoor Devanagari"/>
          <w:sz w:val="20"/>
          <w:szCs w:val="20"/>
        </w:rPr>
        <w:t xml:space="preserve"> du système PATRIMONIE, adapté aux exigences de désagrégation ITIE.</w:t>
      </w:r>
    </w:p>
    <w:p w14:paraId="14D684A3" w14:textId="77777777" w:rsidR="009A49D5" w:rsidRPr="00240C99" w:rsidRDefault="009A49D5" w:rsidP="001059BE">
      <w:pPr>
        <w:numPr>
          <w:ilvl w:val="1"/>
          <w:numId w:val="30"/>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Recruter un </w:t>
      </w:r>
      <w:r w:rsidRPr="00240C99">
        <w:rPr>
          <w:rFonts w:ascii="Kohinoor Devanagari" w:hAnsi="Kohinoor Devanagari" w:cs="Kohinoor Devanagari"/>
          <w:b/>
          <w:bCs/>
          <w:sz w:val="20"/>
          <w:szCs w:val="20"/>
        </w:rPr>
        <w:t>prestataire informatique</w:t>
      </w:r>
      <w:r w:rsidRPr="00240C99">
        <w:rPr>
          <w:rFonts w:ascii="Kohinoor Devanagari" w:hAnsi="Kohinoor Devanagari" w:cs="Kohinoor Devanagari"/>
          <w:sz w:val="20"/>
          <w:szCs w:val="20"/>
        </w:rPr>
        <w:t xml:space="preserve"> pour développer des modules d’extraction automatisée, interopérables avec CAMSYS (DGD) et HARMONIES (DGI).</w:t>
      </w:r>
    </w:p>
    <w:p w14:paraId="04AB0ACE" w14:textId="77777777" w:rsidR="009A49D5" w:rsidRPr="00240C99" w:rsidRDefault="009A49D5" w:rsidP="001059BE">
      <w:pPr>
        <w:numPr>
          <w:ilvl w:val="1"/>
          <w:numId w:val="30"/>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Organiser des </w:t>
      </w:r>
      <w:r w:rsidRPr="00240C99">
        <w:rPr>
          <w:rFonts w:ascii="Kohinoor Devanagari" w:hAnsi="Kohinoor Devanagari" w:cs="Kohinoor Devanagari"/>
          <w:b/>
          <w:bCs/>
          <w:sz w:val="20"/>
          <w:szCs w:val="20"/>
        </w:rPr>
        <w:t>formations interinstitutionnelles</w:t>
      </w:r>
      <w:r w:rsidRPr="00240C99">
        <w:rPr>
          <w:rFonts w:ascii="Kohinoor Devanagari" w:hAnsi="Kohinoor Devanagari" w:cs="Kohinoor Devanagari"/>
          <w:sz w:val="20"/>
          <w:szCs w:val="20"/>
        </w:rPr>
        <w:t xml:space="preserve"> à destination des régies financières et du Trésor.</w:t>
      </w:r>
    </w:p>
    <w:p w14:paraId="30CA2D0B" w14:textId="77777777" w:rsidR="009A49D5" w:rsidRPr="00240C99" w:rsidRDefault="009A49D5" w:rsidP="001059BE">
      <w:pPr>
        <w:numPr>
          <w:ilvl w:val="1"/>
          <w:numId w:val="30"/>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Produire des </w:t>
      </w:r>
      <w:r w:rsidRPr="00240C99">
        <w:rPr>
          <w:rFonts w:ascii="Kohinoor Devanagari" w:hAnsi="Kohinoor Devanagari" w:cs="Kohinoor Devanagari"/>
          <w:b/>
          <w:bCs/>
          <w:sz w:val="20"/>
          <w:szCs w:val="20"/>
        </w:rPr>
        <w:t>rapports automatisés</w:t>
      </w:r>
      <w:r w:rsidRPr="00240C99">
        <w:rPr>
          <w:rFonts w:ascii="Kohinoor Devanagari" w:hAnsi="Kohinoor Devanagari" w:cs="Kohinoor Devanagari"/>
          <w:sz w:val="20"/>
          <w:szCs w:val="20"/>
        </w:rPr>
        <w:t xml:space="preserve"> conformes à la Norme ITIE 2023.</w:t>
      </w:r>
    </w:p>
    <w:p w14:paraId="572EDF47" w14:textId="77777777" w:rsidR="009A49D5" w:rsidRPr="00240C99" w:rsidRDefault="009A49D5" w:rsidP="001059BE">
      <w:pPr>
        <w:numPr>
          <w:ilvl w:val="1"/>
          <w:numId w:val="30"/>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Concevoir un </w:t>
      </w:r>
      <w:r w:rsidRPr="00240C99">
        <w:rPr>
          <w:rFonts w:ascii="Kohinoor Devanagari" w:hAnsi="Kohinoor Devanagari" w:cs="Kohinoor Devanagari"/>
          <w:b/>
          <w:bCs/>
          <w:sz w:val="20"/>
          <w:szCs w:val="20"/>
        </w:rPr>
        <w:t>guide de divulgation systématique</w:t>
      </w:r>
      <w:r w:rsidRPr="00240C99">
        <w:rPr>
          <w:rFonts w:ascii="Kohinoor Devanagari" w:hAnsi="Kohinoor Devanagari" w:cs="Kohinoor Devanagari"/>
          <w:sz w:val="20"/>
          <w:szCs w:val="20"/>
        </w:rPr>
        <w:t xml:space="preserve"> définissant les formats, la périodicité, les responsabilités, et les précautions liées à la confidentialité.</w:t>
      </w:r>
    </w:p>
    <w:p w14:paraId="3C38904B" w14:textId="77777777" w:rsidR="009A49D5" w:rsidRPr="00240C99" w:rsidRDefault="009A49D5" w:rsidP="001059BE">
      <w:pPr>
        <w:numPr>
          <w:ilvl w:val="0"/>
          <w:numId w:val="2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Délai estimé</w:t>
      </w:r>
      <w:r w:rsidRPr="00240C99">
        <w:rPr>
          <w:rFonts w:ascii="Kohinoor Devanagari" w:hAnsi="Kohinoor Devanagari" w:cs="Kohinoor Devanagari"/>
          <w:sz w:val="20"/>
          <w:szCs w:val="20"/>
        </w:rPr>
        <w:t xml:space="preserve"> : 4 mois à partir de la mobilisation du financement.</w:t>
      </w:r>
    </w:p>
    <w:p w14:paraId="737FD830" w14:textId="4DC2EDF1" w:rsidR="004C6E58" w:rsidRPr="00240C99" w:rsidRDefault="009A49D5" w:rsidP="001059BE">
      <w:pPr>
        <w:numPr>
          <w:ilvl w:val="0"/>
          <w:numId w:val="2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Budget indicatif pour le développement informatique uniquement</w:t>
      </w:r>
      <w:r w:rsidRPr="00240C99">
        <w:rPr>
          <w:rFonts w:ascii="Kohinoor Devanagari" w:hAnsi="Kohinoor Devanagari" w:cs="Kohinoor Devanagari"/>
          <w:sz w:val="20"/>
          <w:szCs w:val="20"/>
        </w:rPr>
        <w:t xml:space="preserve"> : 75 millions FCFA (environ 120</w:t>
      </w:r>
      <w:r w:rsidRPr="00240C99">
        <w:rPr>
          <w:rFonts w:ascii="Times New Roman" w:hAnsi="Times New Roman" w:cs="Times New Roman"/>
          <w:sz w:val="20"/>
          <w:szCs w:val="20"/>
        </w:rPr>
        <w:t> </w:t>
      </w:r>
      <w:r w:rsidRPr="00240C99">
        <w:rPr>
          <w:rFonts w:ascii="Kohinoor Devanagari" w:hAnsi="Kohinoor Devanagari" w:cs="Kohinoor Devanagari"/>
          <w:sz w:val="20"/>
          <w:szCs w:val="20"/>
        </w:rPr>
        <w:t>000 USD).</w:t>
      </w:r>
    </w:p>
    <w:p w14:paraId="3EC81FEF" w14:textId="77777777" w:rsidR="00C774F0" w:rsidRDefault="00C774F0">
      <w:pPr>
        <w:rPr>
          <w:rFonts w:ascii="Kohinoor Devanagari" w:eastAsia="Times New Roman" w:hAnsi="Kohinoor Devanagari" w:cs="Kohinoor Devanagari"/>
          <w:b/>
          <w:bCs/>
          <w:sz w:val="20"/>
          <w:szCs w:val="20"/>
        </w:rPr>
      </w:pPr>
      <w:r>
        <w:rPr>
          <w:rFonts w:ascii="Kohinoor Devanagari" w:eastAsia="Times New Roman" w:hAnsi="Kohinoor Devanagari" w:cs="Kohinoor Devanagari"/>
          <w:b/>
          <w:bCs/>
          <w:sz w:val="20"/>
          <w:szCs w:val="20"/>
        </w:rPr>
        <w:br w:type="page"/>
      </w:r>
    </w:p>
    <w:p w14:paraId="5DF40F25" w14:textId="33FE5322" w:rsidR="00EC1E36" w:rsidRPr="00240C99" w:rsidRDefault="008A78DB"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Sous-Direction du Cadastre Minier</w:t>
      </w:r>
    </w:p>
    <w:p w14:paraId="0FE82F75" w14:textId="62652973" w:rsidR="00EC1E36" w:rsidRPr="00240C99" w:rsidRDefault="00EC1E3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État du système cadastral minier</w:t>
      </w:r>
    </w:p>
    <w:p w14:paraId="5971623C" w14:textId="77777777" w:rsidR="00EC1E36" w:rsidRPr="00240C99" w:rsidRDefault="00EC1E36" w:rsidP="001059BE">
      <w:pPr>
        <w:numPr>
          <w:ilvl w:val="0"/>
          <w:numId w:val="3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procédural</w:t>
      </w:r>
    </w:p>
    <w:p w14:paraId="6DD2839E" w14:textId="77777777" w:rsidR="00EC1E36" w:rsidRPr="00240C99" w:rsidRDefault="00EC1E36" w:rsidP="001059BE">
      <w:pPr>
        <w:numPr>
          <w:ilvl w:val="0"/>
          <w:numId w:val="3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Cameroun dispose d’un cadastre minier en ligne basé sur le système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 qui couvre les demandes et les actes d’octroi de titres miniers industriels. Toutefois, plusieurs catégories de titres ne sont pas intégrées dans ce système :</w:t>
      </w:r>
    </w:p>
    <w:p w14:paraId="40102CD9" w14:textId="77777777" w:rsidR="00EC1E36" w:rsidRPr="00240C99" w:rsidRDefault="00EC1E36" w:rsidP="001059BE">
      <w:pPr>
        <w:numPr>
          <w:ilvl w:val="1"/>
          <w:numId w:val="34"/>
        </w:numPr>
        <w:spacing w:before="120" w:after="120" w:line="240" w:lineRule="auto"/>
        <w:ind w:left="993" w:hanging="142"/>
        <w:jc w:val="both"/>
        <w:rPr>
          <w:rFonts w:ascii="Kohinoor Devanagari" w:hAnsi="Kohinoor Devanagari" w:cs="Kohinoor Devanagari"/>
          <w:sz w:val="20"/>
          <w:szCs w:val="20"/>
        </w:rPr>
      </w:pPr>
      <w:r w:rsidRPr="00240C99">
        <w:rPr>
          <w:rFonts w:ascii="Kohinoor Devanagari" w:hAnsi="Kohinoor Devanagari" w:cs="Kohinoor Devanagari"/>
          <w:sz w:val="20"/>
          <w:szCs w:val="20"/>
        </w:rPr>
        <w:t>Les autorisations artisanales, dont la gestion a été transférée aux communes par le Code minier 2023.</w:t>
      </w:r>
    </w:p>
    <w:p w14:paraId="479562C3" w14:textId="77777777" w:rsidR="00EC1E36" w:rsidRPr="00240C99" w:rsidRDefault="00EC1E36" w:rsidP="001059BE">
      <w:pPr>
        <w:numPr>
          <w:ilvl w:val="1"/>
          <w:numId w:val="34"/>
        </w:numPr>
        <w:spacing w:before="120" w:after="120" w:line="240" w:lineRule="auto"/>
        <w:ind w:left="993" w:hanging="142"/>
        <w:jc w:val="both"/>
        <w:rPr>
          <w:rFonts w:ascii="Kohinoor Devanagari" w:hAnsi="Kohinoor Devanagari" w:cs="Kohinoor Devanagari"/>
          <w:sz w:val="20"/>
          <w:szCs w:val="20"/>
        </w:rPr>
      </w:pPr>
      <w:r w:rsidRPr="00240C99">
        <w:rPr>
          <w:rFonts w:ascii="Kohinoor Devanagari" w:hAnsi="Kohinoor Devanagari" w:cs="Kohinoor Devanagari"/>
          <w:sz w:val="20"/>
          <w:szCs w:val="20"/>
        </w:rPr>
        <w:t>Les permis d’exploitation d’eau minérale, qui ne sont actuellement pas enregistrés dans le cadastre minier.</w:t>
      </w:r>
    </w:p>
    <w:p w14:paraId="48FABC30" w14:textId="77777777" w:rsidR="00EC1E36" w:rsidRPr="00240C99" w:rsidRDefault="00EC1E36"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Le processus d’octroi est digitalisé, et les actes sont archivés dans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 xml:space="preserve">, mais les </w:t>
      </w:r>
      <w:r w:rsidRPr="00240C99">
        <w:rPr>
          <w:rFonts w:ascii="Kohinoor Devanagari" w:hAnsi="Kohinoor Devanagari" w:cs="Kohinoor Devanagari"/>
          <w:b/>
          <w:bCs/>
          <w:sz w:val="20"/>
          <w:szCs w:val="20"/>
        </w:rPr>
        <w:t>conventions minières ne sont pas encore systématiquement intégrées</w:t>
      </w:r>
      <w:r w:rsidRPr="00240C99">
        <w:rPr>
          <w:rFonts w:ascii="Kohinoor Devanagari" w:hAnsi="Kohinoor Devanagari" w:cs="Kohinoor Devanagari"/>
          <w:sz w:val="20"/>
          <w:szCs w:val="20"/>
        </w:rPr>
        <w:t>. Le système prévoit leur téléchargement, mais cette fonctionnalité n’est pas encore activée. Les documents disponibles dans l’interface interne du système ne sont pas consultables via le portail public, limitant ainsi l’accessibilité externe aux données.</w:t>
      </w:r>
    </w:p>
    <w:p w14:paraId="5612661C" w14:textId="77777777" w:rsidR="00EC1E36" w:rsidRPr="00240C99" w:rsidRDefault="00EC1E36" w:rsidP="001059BE">
      <w:pPr>
        <w:numPr>
          <w:ilvl w:val="0"/>
          <w:numId w:val="3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 système soutient l’automatisation de l’octroi, mais des lacunes subsistent en matière d’exhaustivité, de qualité et de divulgation publique.</w:t>
      </w:r>
    </w:p>
    <w:p w14:paraId="1AE436DC" w14:textId="77777777" w:rsidR="00EC1E36" w:rsidRPr="00240C99" w:rsidRDefault="00EC1E36" w:rsidP="001059BE">
      <w:pPr>
        <w:numPr>
          <w:ilvl w:val="0"/>
          <w:numId w:val="3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401964F9" w14:textId="77777777" w:rsidR="00EC1E36" w:rsidRPr="00240C99" w:rsidRDefault="00EC1E36" w:rsidP="001059BE">
      <w:pPr>
        <w:numPr>
          <w:ilvl w:val="1"/>
          <w:numId w:val="34"/>
        </w:numPr>
        <w:spacing w:before="120" w:after="120" w:line="240" w:lineRule="auto"/>
        <w:ind w:left="993" w:hanging="142"/>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Intégrer les données sur les </w:t>
      </w:r>
      <w:r w:rsidRPr="00240C99">
        <w:rPr>
          <w:rFonts w:ascii="Kohinoor Devanagari" w:hAnsi="Kohinoor Devanagari" w:cs="Kohinoor Devanagari"/>
          <w:b/>
          <w:bCs/>
          <w:sz w:val="20"/>
          <w:szCs w:val="20"/>
        </w:rPr>
        <w:t>autorisations artisanales</w:t>
      </w:r>
      <w:r w:rsidRPr="00240C99">
        <w:rPr>
          <w:rFonts w:ascii="Kohinoor Devanagari" w:hAnsi="Kohinoor Devanagari" w:cs="Kohinoor Devanagari"/>
          <w:sz w:val="20"/>
          <w:szCs w:val="20"/>
        </w:rPr>
        <w:t xml:space="preserve"> et les </w:t>
      </w:r>
      <w:r w:rsidRPr="00240C99">
        <w:rPr>
          <w:rFonts w:ascii="Kohinoor Devanagari" w:hAnsi="Kohinoor Devanagari" w:cs="Kohinoor Devanagari"/>
          <w:b/>
          <w:bCs/>
          <w:sz w:val="20"/>
          <w:szCs w:val="20"/>
        </w:rPr>
        <w:t>titres d’eau minérale</w:t>
      </w:r>
      <w:r w:rsidRPr="00240C99">
        <w:rPr>
          <w:rFonts w:ascii="Kohinoor Devanagari" w:hAnsi="Kohinoor Devanagari" w:cs="Kohinoor Devanagari"/>
          <w:sz w:val="20"/>
          <w:szCs w:val="20"/>
        </w:rPr>
        <w:t xml:space="preserve"> dans le système, via un mécanisme de collecte et de centralisation auprès des entités locales et ministérielles concernées.</w:t>
      </w:r>
    </w:p>
    <w:p w14:paraId="29437023" w14:textId="77777777" w:rsidR="00EC1E36" w:rsidRPr="00240C99" w:rsidRDefault="00EC1E36" w:rsidP="001059BE">
      <w:pPr>
        <w:numPr>
          <w:ilvl w:val="1"/>
          <w:numId w:val="34"/>
        </w:numPr>
        <w:spacing w:before="120" w:after="120" w:line="240" w:lineRule="auto"/>
        <w:ind w:left="993" w:hanging="142"/>
        <w:jc w:val="both"/>
        <w:rPr>
          <w:rFonts w:ascii="Kohinoor Devanagari" w:hAnsi="Kohinoor Devanagari" w:cs="Kohinoor Devanagari"/>
          <w:sz w:val="20"/>
          <w:szCs w:val="20"/>
        </w:rPr>
      </w:pPr>
      <w:r w:rsidRPr="00240C99">
        <w:rPr>
          <w:rFonts w:ascii="Kohinoor Devanagari" w:hAnsi="Kohinoor Devanagari" w:cs="Kohinoor Devanagari"/>
          <w:sz w:val="20"/>
          <w:szCs w:val="20"/>
        </w:rPr>
        <w:t>Mettre en œuvre les fonctions de téléchargement des conventions minières et autres documents contractuels.</w:t>
      </w:r>
    </w:p>
    <w:p w14:paraId="1B31B3BA" w14:textId="77777777" w:rsidR="00EC1E36" w:rsidRPr="00240C99" w:rsidRDefault="00EC1E36" w:rsidP="001059BE">
      <w:pPr>
        <w:numPr>
          <w:ilvl w:val="1"/>
          <w:numId w:val="34"/>
        </w:numPr>
        <w:spacing w:before="120" w:after="120" w:line="240" w:lineRule="auto"/>
        <w:ind w:left="993" w:hanging="142"/>
        <w:jc w:val="both"/>
        <w:rPr>
          <w:rFonts w:ascii="Kohinoor Devanagari" w:hAnsi="Kohinoor Devanagari" w:cs="Kohinoor Devanagari"/>
          <w:sz w:val="20"/>
          <w:szCs w:val="20"/>
        </w:rPr>
      </w:pPr>
      <w:r w:rsidRPr="00240C99">
        <w:rPr>
          <w:rFonts w:ascii="Kohinoor Devanagari" w:hAnsi="Kohinoor Devanagari" w:cs="Kohinoor Devanagari"/>
          <w:sz w:val="20"/>
          <w:szCs w:val="20"/>
        </w:rPr>
        <w:t>Étendre les accès du portail public aux actes d’octroi et conventions disponibles dans le système interne.</w:t>
      </w:r>
    </w:p>
    <w:p w14:paraId="5CC8A535" w14:textId="77777777" w:rsidR="00EC1E36" w:rsidRPr="00240C99" w:rsidRDefault="00EC1E36" w:rsidP="001059BE">
      <w:pPr>
        <w:numPr>
          <w:ilvl w:val="1"/>
          <w:numId w:val="34"/>
        </w:numPr>
        <w:spacing w:before="120" w:after="120" w:line="240" w:lineRule="auto"/>
        <w:ind w:left="993" w:hanging="142"/>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Établir un protocole de </w:t>
      </w:r>
      <w:r w:rsidRPr="00240C99">
        <w:rPr>
          <w:rFonts w:ascii="Kohinoor Devanagari" w:hAnsi="Kohinoor Devanagari" w:cs="Kohinoor Devanagari"/>
          <w:b/>
          <w:bCs/>
          <w:sz w:val="20"/>
          <w:szCs w:val="20"/>
        </w:rPr>
        <w:t>transmission systématique</w:t>
      </w:r>
      <w:r w:rsidRPr="00240C99">
        <w:rPr>
          <w:rFonts w:ascii="Kohinoor Devanagari" w:hAnsi="Kohinoor Devanagari" w:cs="Kohinoor Devanagari"/>
          <w:sz w:val="20"/>
          <w:szCs w:val="20"/>
        </w:rPr>
        <w:t xml:space="preserve"> des actes entre les directions impliquées dans le processus d’octroi ou de renouvellement afin d’assurer une mise à jour en temps réel de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w:t>
      </w:r>
    </w:p>
    <w:p w14:paraId="60D9BB81"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1876DCC4" w14:textId="1E7DF2D6" w:rsidR="00EC1E36" w:rsidRPr="00240C99" w:rsidRDefault="00EC1E3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(ii) Limitations techniques du système actuel</w:t>
      </w:r>
    </w:p>
    <w:p w14:paraId="22FFFE02" w14:textId="77777777" w:rsidR="00EC1E36" w:rsidRPr="00240C99" w:rsidRDefault="00EC1E36" w:rsidP="001059BE">
      <w:pPr>
        <w:numPr>
          <w:ilvl w:val="0"/>
          <w:numId w:val="3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structurel</w:t>
      </w:r>
    </w:p>
    <w:p w14:paraId="51C04C0C" w14:textId="77777777" w:rsidR="00EC1E36" w:rsidRPr="00240C99" w:rsidRDefault="00EC1E36" w:rsidP="001059BE">
      <w:pPr>
        <w:numPr>
          <w:ilvl w:val="0"/>
          <w:numId w:val="3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w:t>
      </w:r>
    </w:p>
    <w:p w14:paraId="59324079" w14:textId="77777777" w:rsidR="00EC1E36" w:rsidRPr="00240C99" w:rsidRDefault="00EC1E36" w:rsidP="001059BE">
      <w:pPr>
        <w:numPr>
          <w:ilvl w:val="1"/>
          <w:numId w:val="35"/>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Le système ne permet pas l’extraction automatisée de données à partir du portail public.</w:t>
      </w:r>
    </w:p>
    <w:p w14:paraId="77E0532C" w14:textId="77777777" w:rsidR="00EC1E36" w:rsidRPr="00240C99" w:rsidRDefault="00EC1E36" w:rsidP="001059BE">
      <w:pPr>
        <w:numPr>
          <w:ilvl w:val="1"/>
          <w:numId w:val="35"/>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L’identifiant fiscal unique n’est pas encore intégré dans les champs de saisie du système, bien qu’il soit mentionné dans les actes depuis 2024. Cela limite l’interopérabilité avec les systèmes d’information de la DGI, du Trésor, ou de l’ITIE.</w:t>
      </w:r>
    </w:p>
    <w:p w14:paraId="73E3AA6E" w14:textId="77777777" w:rsidR="00EC1E36" w:rsidRPr="00240C99" w:rsidRDefault="00EC1E36" w:rsidP="001059BE">
      <w:pPr>
        <w:numPr>
          <w:ilvl w:val="1"/>
          <w:numId w:val="35"/>
        </w:numPr>
        <w:spacing w:before="120" w:after="120" w:line="240" w:lineRule="auto"/>
        <w:ind w:left="1134" w:hanging="283"/>
        <w:jc w:val="both"/>
        <w:rPr>
          <w:rFonts w:ascii="Kohinoor Devanagari" w:hAnsi="Kohinoor Devanagari" w:cs="Kohinoor Devanagari"/>
          <w:sz w:val="20"/>
          <w:szCs w:val="20"/>
        </w:rPr>
      </w:pP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 xml:space="preserve"> ne comporte pas de champs dédiés à la </w:t>
      </w:r>
      <w:r w:rsidRPr="00240C99">
        <w:rPr>
          <w:rFonts w:ascii="Kohinoor Devanagari" w:hAnsi="Kohinoor Devanagari" w:cs="Kohinoor Devanagari"/>
          <w:b/>
          <w:bCs/>
          <w:sz w:val="20"/>
          <w:szCs w:val="20"/>
        </w:rPr>
        <w:t>propriété réelle</w:t>
      </w:r>
      <w:r w:rsidRPr="00240C99">
        <w:rPr>
          <w:rFonts w:ascii="Kohinoor Devanagari" w:hAnsi="Kohinoor Devanagari" w:cs="Kohinoor Devanagari"/>
          <w:sz w:val="20"/>
          <w:szCs w:val="20"/>
        </w:rPr>
        <w:t xml:space="preserve"> ou à la </w:t>
      </w:r>
      <w:r w:rsidRPr="00240C99">
        <w:rPr>
          <w:rFonts w:ascii="Kohinoor Devanagari" w:hAnsi="Kohinoor Devanagari" w:cs="Kohinoor Devanagari"/>
          <w:b/>
          <w:bCs/>
          <w:sz w:val="20"/>
          <w:szCs w:val="20"/>
        </w:rPr>
        <w:t>structure actionnariale</w:t>
      </w:r>
      <w:r w:rsidRPr="00240C99">
        <w:rPr>
          <w:rFonts w:ascii="Kohinoor Devanagari" w:hAnsi="Kohinoor Devanagari" w:cs="Kohinoor Devanagari"/>
          <w:sz w:val="20"/>
          <w:szCs w:val="20"/>
        </w:rPr>
        <w:t xml:space="preserve"> des titulaires.</w:t>
      </w:r>
    </w:p>
    <w:p w14:paraId="000E2A16" w14:textId="77777777" w:rsidR="00EC1E36" w:rsidRPr="00240C99" w:rsidRDefault="00EC1E36" w:rsidP="001059BE">
      <w:pPr>
        <w:numPr>
          <w:ilvl w:val="1"/>
          <w:numId w:val="35"/>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Les critères de capacité technique et financière définis par décret en 2024 ne sont pas intégrés dans le système. Les procès-verbaux d’évaluation ne sont pas téléchargés ; seule la lettre d’avis de la Direction de la Géologie est versée au dossier. En outre, l’évaluation technique et financière n’est pas toujours formalisée par un rapport structuré.</w:t>
      </w:r>
    </w:p>
    <w:p w14:paraId="3A7145AA" w14:textId="77777777" w:rsidR="00EC1E36" w:rsidRPr="00240C99" w:rsidRDefault="00EC1E36" w:rsidP="001059BE">
      <w:pPr>
        <w:numPr>
          <w:ilvl w:val="1"/>
          <w:numId w:val="35"/>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Des </w:t>
      </w:r>
      <w:r w:rsidRPr="00240C99">
        <w:rPr>
          <w:rFonts w:ascii="Kohinoor Devanagari" w:hAnsi="Kohinoor Devanagari" w:cs="Kohinoor Devanagari"/>
          <w:b/>
          <w:bCs/>
          <w:sz w:val="20"/>
          <w:szCs w:val="20"/>
        </w:rPr>
        <w:t>dysfonctionnements dans la transmission des actes d’octroi ou de renouvellement</w:t>
      </w:r>
      <w:r w:rsidRPr="00240C99">
        <w:rPr>
          <w:rFonts w:ascii="Kohinoor Devanagari" w:hAnsi="Kohinoor Devanagari" w:cs="Kohinoor Devanagari"/>
          <w:sz w:val="20"/>
          <w:szCs w:val="20"/>
        </w:rPr>
        <w:t xml:space="preserve"> limitent la fiabilité du cadastre. Bien que les demandes passent systématiquement par le cadastre, les actes peuvent ne pas être transmis à la sous-direction pour actualisation, ce qui affecte l’exhaustivité des données disponibles (fiabilité estimée à 95 %).</w:t>
      </w:r>
    </w:p>
    <w:p w14:paraId="268A6307" w14:textId="77777777" w:rsidR="00EC1E36" w:rsidRPr="00240C99" w:rsidRDefault="00EC1E36" w:rsidP="001059BE">
      <w:pPr>
        <w:numPr>
          <w:ilvl w:val="0"/>
          <w:numId w:val="3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Ces limites réduisent la fiabilité, l’exhaustivité et l’utilité des données pour la divulgation systématique.</w:t>
      </w:r>
    </w:p>
    <w:p w14:paraId="2605C39C" w14:textId="77777777" w:rsidR="00EC1E36" w:rsidRPr="00240C99" w:rsidRDefault="00EC1E36" w:rsidP="001059BE">
      <w:pPr>
        <w:numPr>
          <w:ilvl w:val="0"/>
          <w:numId w:val="3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462DF6C3" w14:textId="77777777" w:rsidR="00EC1E36" w:rsidRPr="00240C99" w:rsidRDefault="00EC1E36" w:rsidP="001059BE">
      <w:pPr>
        <w:numPr>
          <w:ilvl w:val="1"/>
          <w:numId w:val="36"/>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Intégrer un champ pour l’identifiant fiscal unique.</w:t>
      </w:r>
    </w:p>
    <w:p w14:paraId="6C606E6E" w14:textId="77777777" w:rsidR="00EC1E36" w:rsidRPr="00240C99" w:rsidRDefault="00EC1E36" w:rsidP="001059BE">
      <w:pPr>
        <w:numPr>
          <w:ilvl w:val="1"/>
          <w:numId w:val="36"/>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Ajouter des modules pour la saisie et la publication de la </w:t>
      </w:r>
      <w:r w:rsidRPr="00240C99">
        <w:rPr>
          <w:rFonts w:ascii="Kohinoor Devanagari" w:hAnsi="Kohinoor Devanagari" w:cs="Kohinoor Devanagari"/>
          <w:b/>
          <w:bCs/>
          <w:sz w:val="20"/>
          <w:szCs w:val="20"/>
        </w:rPr>
        <w:t>propriété réelle</w:t>
      </w:r>
      <w:r w:rsidRPr="00240C99">
        <w:rPr>
          <w:rFonts w:ascii="Kohinoor Devanagari" w:hAnsi="Kohinoor Devanagari" w:cs="Kohinoor Devanagari"/>
          <w:sz w:val="20"/>
          <w:szCs w:val="20"/>
        </w:rPr>
        <w:t xml:space="preserve"> et des </w:t>
      </w:r>
      <w:r w:rsidRPr="00240C99">
        <w:rPr>
          <w:rFonts w:ascii="Kohinoor Devanagari" w:hAnsi="Kohinoor Devanagari" w:cs="Kohinoor Devanagari"/>
          <w:b/>
          <w:bCs/>
          <w:sz w:val="20"/>
          <w:szCs w:val="20"/>
        </w:rPr>
        <w:t>actionnaires</w:t>
      </w:r>
      <w:r w:rsidRPr="00240C99">
        <w:rPr>
          <w:rFonts w:ascii="Kohinoor Devanagari" w:hAnsi="Kohinoor Devanagari" w:cs="Kohinoor Devanagari"/>
          <w:sz w:val="20"/>
          <w:szCs w:val="20"/>
        </w:rPr>
        <w:t>.</w:t>
      </w:r>
    </w:p>
    <w:p w14:paraId="4A7958C3" w14:textId="77777777" w:rsidR="00EC1E36" w:rsidRPr="00240C99" w:rsidRDefault="00EC1E36" w:rsidP="001059BE">
      <w:pPr>
        <w:numPr>
          <w:ilvl w:val="1"/>
          <w:numId w:val="36"/>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Développer un espace dédié au téléchargement des </w:t>
      </w:r>
      <w:r w:rsidRPr="00240C99">
        <w:rPr>
          <w:rFonts w:ascii="Kohinoor Devanagari" w:hAnsi="Kohinoor Devanagari" w:cs="Kohinoor Devanagari"/>
          <w:b/>
          <w:bCs/>
          <w:sz w:val="20"/>
          <w:szCs w:val="20"/>
        </w:rPr>
        <w:t>PV d’évaluation technique et financière</w:t>
      </w:r>
      <w:r w:rsidRPr="00240C99">
        <w:rPr>
          <w:rFonts w:ascii="Kohinoor Devanagari" w:hAnsi="Kohinoor Devanagari" w:cs="Kohinoor Devanagari"/>
          <w:sz w:val="20"/>
          <w:szCs w:val="20"/>
        </w:rPr>
        <w:t>.</w:t>
      </w:r>
    </w:p>
    <w:p w14:paraId="2C4F12C6" w14:textId="77777777" w:rsidR="00EC1E36" w:rsidRPr="00240C99" w:rsidRDefault="00EC1E36" w:rsidP="001059BE">
      <w:pPr>
        <w:numPr>
          <w:ilvl w:val="1"/>
          <w:numId w:val="36"/>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Activer l’extraction de données structurées (titres, titulaires, statuts, dates clés, types de substances) à partir du portail public.</w:t>
      </w:r>
    </w:p>
    <w:p w14:paraId="708FF8EA" w14:textId="77777777" w:rsidR="00EC1E36" w:rsidRPr="00240C99" w:rsidRDefault="00EC1E36" w:rsidP="001059BE">
      <w:pPr>
        <w:numPr>
          <w:ilvl w:val="1"/>
          <w:numId w:val="36"/>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Intégrer les critères de capacité technique et financière dans les champs du système, en conformité avec les dispositions réglementaires.</w:t>
      </w:r>
    </w:p>
    <w:p w14:paraId="5E4D11AE" w14:textId="77777777" w:rsidR="00EC1E36" w:rsidRPr="00240C99" w:rsidRDefault="00EC1E36" w:rsidP="001059BE">
      <w:pPr>
        <w:numPr>
          <w:ilvl w:val="1"/>
          <w:numId w:val="36"/>
        </w:numPr>
        <w:spacing w:before="120" w:after="120" w:line="240" w:lineRule="auto"/>
        <w:ind w:left="1134" w:hanging="283"/>
        <w:jc w:val="both"/>
        <w:rPr>
          <w:rFonts w:ascii="Kohinoor Devanagari" w:hAnsi="Kohinoor Devanagari" w:cs="Kohinoor Devanagari"/>
          <w:sz w:val="20"/>
          <w:szCs w:val="20"/>
        </w:rPr>
      </w:pPr>
      <w:r w:rsidRPr="00240C99">
        <w:rPr>
          <w:rFonts w:ascii="Kohinoor Devanagari" w:hAnsi="Kohinoor Devanagari" w:cs="Kohinoor Devanagari"/>
          <w:sz w:val="20"/>
          <w:szCs w:val="20"/>
        </w:rPr>
        <w:t>Renforcer la coordination interinstitutionnelle via une procédure formalisée pour la transmission et la validation des actes à publier.</w:t>
      </w:r>
    </w:p>
    <w:p w14:paraId="659D9ECD" w14:textId="0AB31FDD" w:rsidR="00067A3D" w:rsidRPr="00240C99" w:rsidRDefault="00EC1E36" w:rsidP="001059BE">
      <w:pPr>
        <w:numPr>
          <w:ilvl w:val="1"/>
          <w:numId w:val="36"/>
        </w:numPr>
        <w:spacing w:before="120" w:after="120" w:line="240" w:lineRule="auto"/>
        <w:ind w:left="1134" w:hanging="283"/>
        <w:jc w:val="both"/>
        <w:rPr>
          <w:rStyle w:val="lev"/>
          <w:rFonts w:ascii="Kohinoor Devanagari" w:hAnsi="Kohinoor Devanagari" w:cs="Kohinoor Devanagari"/>
          <w:b w:val="0"/>
          <w:bCs w:val="0"/>
          <w:sz w:val="20"/>
          <w:szCs w:val="20"/>
        </w:rPr>
      </w:pPr>
      <w:r w:rsidRPr="00240C99">
        <w:rPr>
          <w:rFonts w:ascii="Kohinoor Devanagari" w:hAnsi="Kohinoor Devanagari" w:cs="Kohinoor Devanagari"/>
          <w:sz w:val="20"/>
          <w:szCs w:val="20"/>
        </w:rPr>
        <w:lastRenderedPageBreak/>
        <w:t>Élaborer un tableau de bord d’exhaustivité pour identifier les écarts entre les actes disponibles au cadastre et les décisions administratives.</w:t>
      </w:r>
    </w:p>
    <w:p w14:paraId="36E3AD37" w14:textId="2DE21422" w:rsidR="00C6426B" w:rsidRPr="00240C99" w:rsidRDefault="002327A5"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Sous-Direction des Activités Minières</w:t>
      </w:r>
    </w:p>
    <w:p w14:paraId="71F07D66" w14:textId="3563841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Divulgation des contrats miniers</w:t>
      </w:r>
    </w:p>
    <w:p w14:paraId="3207B03C" w14:textId="77777777" w:rsidR="0027359E" w:rsidRPr="00240C99" w:rsidRDefault="0027359E" w:rsidP="001059BE">
      <w:pPr>
        <w:numPr>
          <w:ilvl w:val="0"/>
          <w:numId w:val="3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 et institutionnel</w:t>
      </w:r>
    </w:p>
    <w:p w14:paraId="6C00C323" w14:textId="77777777" w:rsidR="0027359E" w:rsidRPr="00240C99" w:rsidRDefault="0027359E" w:rsidP="001059BE">
      <w:pPr>
        <w:numPr>
          <w:ilvl w:val="0"/>
          <w:numId w:val="3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majorité des conventions minières sont disponibles en ligne sur le site du MINMIDT, y compris les certificats de conformité environnementale et les engagements sociaux. Toutefois, la convention du CMC n'était pas encore publiée au moment de la réunion. Les annexes associées aux conventions contiennent des informations volumineuses (consultations communautaires, contenu local, etc.), ce qui complique leur réutilisation selon les formats recommandés par la Norme ITIE. Il est prévu à terme de centraliser ces publications via le cadastre minier.</w:t>
      </w:r>
    </w:p>
    <w:p w14:paraId="744B11A5" w14:textId="77777777" w:rsidR="0027359E" w:rsidRPr="00240C99" w:rsidRDefault="0027359E" w:rsidP="001059BE">
      <w:pPr>
        <w:numPr>
          <w:ilvl w:val="0"/>
          <w:numId w:val="3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L’accessibilité est bonne mais l’exploitation des données reste limitée.</w:t>
      </w:r>
    </w:p>
    <w:p w14:paraId="7EF0D190" w14:textId="77777777" w:rsidR="0027359E" w:rsidRPr="00240C99" w:rsidRDefault="0027359E" w:rsidP="001059BE">
      <w:pPr>
        <w:numPr>
          <w:ilvl w:val="0"/>
          <w:numId w:val="3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Publier systématiquement les annexes en format structuré ; prévoir l’intégration automatisée des conventions et annexes dans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w:t>
      </w:r>
    </w:p>
    <w:p w14:paraId="77A46D6E" w14:textId="7777777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Données sur la propriété juridique et réelle</w:t>
      </w:r>
    </w:p>
    <w:p w14:paraId="7A07195B" w14:textId="77777777" w:rsidR="0027359E" w:rsidRPr="00240C99" w:rsidRDefault="0027359E" w:rsidP="001059BE">
      <w:pPr>
        <w:numPr>
          <w:ilvl w:val="0"/>
          <w:numId w:val="3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réglementaire</w:t>
      </w:r>
    </w:p>
    <w:p w14:paraId="7D64B6C2" w14:textId="77777777" w:rsidR="0027359E" w:rsidRPr="00240C99" w:rsidRDefault="0027359E" w:rsidP="001059BE">
      <w:pPr>
        <w:numPr>
          <w:ilvl w:val="0"/>
          <w:numId w:val="3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Lors de l’octroi des permis de recherche, les données sur la propriété juridique sont collectées. Cependant, les données sur les bénéficiaires effectifs ne sont pas saisies dans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 en l’absence de champs prévus à cet effet.</w:t>
      </w:r>
    </w:p>
    <w:p w14:paraId="1BC436AD" w14:textId="77777777" w:rsidR="0027359E" w:rsidRPr="00240C99" w:rsidRDefault="0027359E" w:rsidP="001059BE">
      <w:pPr>
        <w:numPr>
          <w:ilvl w:val="0"/>
          <w:numId w:val="3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Limite la conformité aux exigences de divulgation sur la propriété réelle (Exigence 2.5).</w:t>
      </w:r>
    </w:p>
    <w:p w14:paraId="51724A9C" w14:textId="77777777" w:rsidR="0027359E" w:rsidRPr="00240C99" w:rsidRDefault="0027359E" w:rsidP="001059BE">
      <w:pPr>
        <w:numPr>
          <w:ilvl w:val="0"/>
          <w:numId w:val="3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Intégrer des champs dédiés aux bénéficiaires effectifs dans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 xml:space="preserve"> ; synchroniser avec le registre des BE en cours de développement.</w:t>
      </w:r>
    </w:p>
    <w:p w14:paraId="28A5329E" w14:textId="7777777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Suivi de la production et de l’exportation</w:t>
      </w:r>
    </w:p>
    <w:p w14:paraId="6493991C" w14:textId="77777777" w:rsidR="0027359E" w:rsidRPr="00240C99" w:rsidRDefault="0027359E" w:rsidP="001059BE">
      <w:pPr>
        <w:numPr>
          <w:ilvl w:val="0"/>
          <w:numId w:val="3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institutionnel</w:t>
      </w:r>
    </w:p>
    <w:p w14:paraId="0D65AC7A" w14:textId="77777777" w:rsidR="0027359E" w:rsidRPr="00240C99" w:rsidRDefault="0027359E" w:rsidP="001059BE">
      <w:pPr>
        <w:numPr>
          <w:ilvl w:val="0"/>
          <w:numId w:val="3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Les données de production ne sont pas publiées. Pour les carrières, les chiffres sont collectés manuellement par les délégués départementaux, puis compilés au niveau régional et central de manière semestrielle. Le processus reste manuel, sans application informatique dédiée, ce qui augmente les risques d’erreurs. Les données d’exportation sont gérées au niveau central via les certificats d’exportation délivrés aux opérateurs, mais il n’y a pas encore de recoupement systématique avec les données de la douane.</w:t>
      </w:r>
    </w:p>
    <w:p w14:paraId="10968DFA" w14:textId="77777777" w:rsidR="0027359E" w:rsidRPr="00240C99" w:rsidRDefault="0027359E" w:rsidP="001059BE">
      <w:pPr>
        <w:numPr>
          <w:ilvl w:val="0"/>
          <w:numId w:val="3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Faible fiabilité et traçabilité, surtout pour les activités de carrière.</w:t>
      </w:r>
    </w:p>
    <w:p w14:paraId="7AD1787F" w14:textId="77777777" w:rsidR="0027359E" w:rsidRPr="00240C99" w:rsidRDefault="0027359E" w:rsidP="001059BE">
      <w:pPr>
        <w:numPr>
          <w:ilvl w:val="0"/>
          <w:numId w:val="3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Actions suggérées</w:t>
      </w:r>
      <w:r w:rsidRPr="00240C99">
        <w:rPr>
          <w:rFonts w:ascii="Kohinoor Devanagari" w:hAnsi="Kohinoor Devanagari" w:cs="Kohinoor Devanagari"/>
          <w:sz w:val="20"/>
          <w:szCs w:val="20"/>
        </w:rPr>
        <w:t xml:space="preserve"> : Mettre en place un système informatisé pour la collecte mensuelle des données de production ; instaurer un mécanisme de recoupement automatique entre certificats d’exportation et données douanières.</w:t>
      </w:r>
    </w:p>
    <w:p w14:paraId="5108A7AE" w14:textId="7777777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Dématérialisation et projets de modernisation</w:t>
      </w:r>
    </w:p>
    <w:p w14:paraId="5415AEAD" w14:textId="77777777" w:rsidR="0027359E" w:rsidRPr="00240C99" w:rsidRDefault="0027359E" w:rsidP="001059BE">
      <w:pPr>
        <w:numPr>
          <w:ilvl w:val="0"/>
          <w:numId w:val="4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Opérationnel</w:t>
      </w:r>
    </w:p>
    <w:p w14:paraId="5EDB1556" w14:textId="77777777" w:rsidR="0027359E" w:rsidRPr="00240C99" w:rsidRDefault="0027359E" w:rsidP="001059BE">
      <w:pPr>
        <w:numPr>
          <w:ilvl w:val="0"/>
          <w:numId w:val="4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Un projet de dématérialisation des procédures d’exportation est en cours avec le Port autonome de Kribi et SGS. Par ailleurs, une interconnexion est envisagée entre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 xml:space="preserve"> et le système SIGEPES (gestion du courrier) afin de faciliter l’actualisation des actes d’octroi et de renouvellement. Cependant, les actes émis par la Présidence de la République échappent à ce circuit.</w:t>
      </w:r>
    </w:p>
    <w:p w14:paraId="15CE7310" w14:textId="77777777" w:rsidR="0027359E" w:rsidRPr="00240C99" w:rsidRDefault="0027359E" w:rsidP="001059BE">
      <w:pPr>
        <w:numPr>
          <w:ilvl w:val="0"/>
          <w:numId w:val="4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Amélioration attendue de la réactivité dans l’actualisation des données du cadastre.</w:t>
      </w:r>
    </w:p>
    <w:p w14:paraId="2C20F917" w14:textId="77777777" w:rsidR="0027359E" w:rsidRPr="00240C99" w:rsidRDefault="0027359E" w:rsidP="001059BE">
      <w:pPr>
        <w:numPr>
          <w:ilvl w:val="0"/>
          <w:numId w:val="4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Étendre l’interconnexion aux actes présidentiels via un canal officiel de transmission sécurisé ; finaliser l’intégration avec SIGEPES.</w:t>
      </w:r>
    </w:p>
    <w:p w14:paraId="0800BDC0" w14:textId="7777777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 Évaluation des capacités techniques et financières</w:t>
      </w:r>
    </w:p>
    <w:p w14:paraId="1F7C32CA" w14:textId="77777777" w:rsidR="0027359E" w:rsidRPr="00240C99" w:rsidRDefault="0027359E" w:rsidP="001059BE">
      <w:pPr>
        <w:numPr>
          <w:ilvl w:val="0"/>
          <w:numId w:val="4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Réglementaire et institutionnel</w:t>
      </w:r>
    </w:p>
    <w:p w14:paraId="7AB52028" w14:textId="77777777" w:rsidR="0027359E" w:rsidRPr="00240C99" w:rsidRDefault="0027359E" w:rsidP="001059BE">
      <w:pPr>
        <w:numPr>
          <w:ilvl w:val="0"/>
          <w:numId w:val="4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décret de 2024 fixe les critères techniques et financiers d’attribution des titres miniers. Une fiche d’évaluation est prévue, mais non encore utilisée en raison de l'absence de la commission d’évaluation des titres prévue par le Code minier 2023.</w:t>
      </w:r>
    </w:p>
    <w:p w14:paraId="119FA841" w14:textId="77777777" w:rsidR="0027359E" w:rsidRPr="00240C99" w:rsidRDefault="0027359E" w:rsidP="001059BE">
      <w:pPr>
        <w:numPr>
          <w:ilvl w:val="0"/>
          <w:numId w:val="4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 transparence sur les critères d’éligibilité n’est pas encore effective.</w:t>
      </w:r>
    </w:p>
    <w:p w14:paraId="350673B2" w14:textId="77777777" w:rsidR="0027359E" w:rsidRPr="00240C99" w:rsidRDefault="0027359E" w:rsidP="001059BE">
      <w:pPr>
        <w:numPr>
          <w:ilvl w:val="0"/>
          <w:numId w:val="4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Publier les fiches d’évaluation dès l’établissement de la commission ; intégrer ces fiches dans le processus de demande via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w:t>
      </w:r>
    </w:p>
    <w:p w14:paraId="53914257" w14:textId="7777777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(vi) Exhaustivité des données et artisanat minier</w:t>
      </w:r>
    </w:p>
    <w:p w14:paraId="06AAD2CF" w14:textId="77777777" w:rsidR="0027359E" w:rsidRPr="00240C99" w:rsidRDefault="0027359E" w:rsidP="001059BE">
      <w:pPr>
        <w:numPr>
          <w:ilvl w:val="0"/>
          <w:numId w:val="4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 et institutionnel</w:t>
      </w:r>
    </w:p>
    <w:p w14:paraId="62660273" w14:textId="77777777" w:rsidR="0027359E" w:rsidRPr="00240C99" w:rsidRDefault="0027359E" w:rsidP="001059BE">
      <w:pPr>
        <w:numPr>
          <w:ilvl w:val="0"/>
          <w:numId w:val="4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cadastre minier ne couvre ni les autorisations artisanales (gérées par les communes) ni les permis d’exploitation d’eau minérale. Il ne reflète donc pas l’exhaustivité des titres délivrés.</w:t>
      </w:r>
    </w:p>
    <w:p w14:paraId="7E78D8E7" w14:textId="77777777" w:rsidR="0027359E" w:rsidRPr="00240C99" w:rsidRDefault="0027359E" w:rsidP="001059BE">
      <w:pPr>
        <w:numPr>
          <w:ilvl w:val="0"/>
          <w:numId w:val="4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Limite la couverture complète des titres miniers.</w:t>
      </w:r>
    </w:p>
    <w:p w14:paraId="7D262208" w14:textId="77777777" w:rsidR="0027359E" w:rsidRPr="00240C99" w:rsidRDefault="0027359E" w:rsidP="001059BE">
      <w:pPr>
        <w:numPr>
          <w:ilvl w:val="0"/>
          <w:numId w:val="4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Mettre en place un mécanisme de centralisation des informations issues des communes (autorisations artisanales) et du ministère en charge de l’eau ; développer un registre unifié complémentaire au cadastre.</w:t>
      </w:r>
    </w:p>
    <w:p w14:paraId="3AF48085" w14:textId="77777777" w:rsidR="0027359E" w:rsidRPr="00240C99" w:rsidRDefault="0027359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(vii) Contraintes techniques identifiées</w:t>
      </w:r>
    </w:p>
    <w:p w14:paraId="50F352A5" w14:textId="77777777" w:rsidR="0027359E" w:rsidRPr="00240C99" w:rsidRDefault="0027359E" w:rsidP="001059BE">
      <w:pPr>
        <w:numPr>
          <w:ilvl w:val="0"/>
          <w:numId w:val="4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w:t>
      </w:r>
    </w:p>
    <w:p w14:paraId="21B6661A"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Absence de champs pour l’identifiant fiscal et les BE dans </w:t>
      </w:r>
      <w:proofErr w:type="spellStart"/>
      <w:r w:rsidRPr="00240C99">
        <w:rPr>
          <w:rFonts w:ascii="Kohinoor Devanagari" w:hAnsi="Kohinoor Devanagari" w:cs="Kohinoor Devanagari"/>
          <w:sz w:val="20"/>
          <w:szCs w:val="20"/>
        </w:rPr>
        <w:t>Flexicadastre</w:t>
      </w:r>
      <w:proofErr w:type="spellEnd"/>
      <w:r w:rsidRPr="00240C99">
        <w:rPr>
          <w:rFonts w:ascii="Kohinoor Devanagari" w:hAnsi="Kohinoor Devanagari" w:cs="Kohinoor Devanagari"/>
          <w:sz w:val="20"/>
          <w:szCs w:val="20"/>
        </w:rPr>
        <w:t>.</w:t>
      </w:r>
    </w:p>
    <w:p w14:paraId="6D77A4F8"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lastRenderedPageBreak/>
        <w:t>Non-intégration des PV d’évaluation technique et financière.</w:t>
      </w:r>
    </w:p>
    <w:p w14:paraId="2200C0C5"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t>Non-transmission systématique des actes d’octroi par toutes les instances.</w:t>
      </w:r>
    </w:p>
    <w:p w14:paraId="11F01704"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t>Faible interopérabilité entre le cadastre et les autres systèmes d’information.</w:t>
      </w:r>
    </w:p>
    <w:p w14:paraId="42AFB8F0" w14:textId="77777777" w:rsidR="0027359E" w:rsidRPr="00240C99" w:rsidRDefault="0027359E" w:rsidP="001059BE">
      <w:pPr>
        <w:numPr>
          <w:ilvl w:val="0"/>
          <w:numId w:val="4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Élaborer un cahier de charges pour :</w:t>
      </w:r>
    </w:p>
    <w:p w14:paraId="6A56A9C6"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t>Intégration des identifiants fiscaux et des champs BE.</w:t>
      </w:r>
    </w:p>
    <w:p w14:paraId="19BC01ED"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t>Ajout d’un module de saisie et téléchargement des PV techniques.</w:t>
      </w:r>
    </w:p>
    <w:p w14:paraId="5CA29146" w14:textId="77777777" w:rsidR="0027359E" w:rsidRPr="00240C99" w:rsidRDefault="0027359E" w:rsidP="001059BE">
      <w:pPr>
        <w:numPr>
          <w:ilvl w:val="1"/>
          <w:numId w:val="44"/>
        </w:numPr>
        <w:spacing w:before="120" w:after="120" w:line="240" w:lineRule="auto"/>
        <w:ind w:left="993" w:hanging="284"/>
        <w:jc w:val="both"/>
        <w:rPr>
          <w:rFonts w:ascii="Kohinoor Devanagari" w:hAnsi="Kohinoor Devanagari" w:cs="Kohinoor Devanagari"/>
          <w:sz w:val="20"/>
          <w:szCs w:val="20"/>
        </w:rPr>
      </w:pPr>
      <w:r w:rsidRPr="00240C99">
        <w:rPr>
          <w:rFonts w:ascii="Kohinoor Devanagari" w:hAnsi="Kohinoor Devanagari" w:cs="Kohinoor Devanagari"/>
          <w:sz w:val="20"/>
          <w:szCs w:val="20"/>
        </w:rPr>
        <w:t>Développement d’une passerelle entre le cadastre et les systèmes externes (SIGEPES, fisc, etc.).</w:t>
      </w:r>
    </w:p>
    <w:p w14:paraId="09135FD2" w14:textId="3B8A50D4" w:rsidR="009A6ED3" w:rsidRPr="00240C99" w:rsidRDefault="0053063E"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 xml:space="preserve">Direction </w:t>
      </w:r>
      <w:r w:rsidR="000E18FA" w:rsidRPr="00240C99">
        <w:rPr>
          <w:rFonts w:ascii="Kohinoor Devanagari" w:eastAsia="Times New Roman" w:hAnsi="Kohinoor Devanagari" w:cs="Kohinoor Devanagari"/>
          <w:b/>
          <w:bCs/>
          <w:color w:val="auto"/>
          <w:sz w:val="20"/>
          <w:szCs w:val="20"/>
        </w:rPr>
        <w:t>de la Géologie</w:t>
      </w:r>
    </w:p>
    <w:p w14:paraId="1E4D9973" w14:textId="1C447398" w:rsidR="009A6ED3" w:rsidRPr="00240C99" w:rsidRDefault="009A6ED3"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Données sur les projets en construction</w:t>
      </w:r>
    </w:p>
    <w:p w14:paraId="2204A11A" w14:textId="77777777" w:rsidR="009A6ED3" w:rsidRPr="00240C99" w:rsidRDefault="009A6ED3" w:rsidP="001059BE">
      <w:pPr>
        <w:numPr>
          <w:ilvl w:val="0"/>
          <w:numId w:val="4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institutionnel</w:t>
      </w:r>
    </w:p>
    <w:p w14:paraId="26A5317F" w14:textId="77777777" w:rsidR="009A6ED3" w:rsidRPr="00240C99" w:rsidRDefault="009A6ED3" w:rsidP="001059BE">
      <w:pPr>
        <w:numPr>
          <w:ilvl w:val="0"/>
          <w:numId w:val="4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Direction reçoit régulièrement des rapports sur les travaux de recherche. Bien que les rapports de recherche soient considérés comme confidentiels, les données relatives aux projets en phase de construction (réserves prouvées, date estimée de mise en production, volumes prévisionnels) ne le sont pas. Toutefois, ces informations ne sont pas publiées à ce jour.</w:t>
      </w:r>
    </w:p>
    <w:p w14:paraId="2A68A0D1" w14:textId="77777777" w:rsidR="009A6ED3" w:rsidRPr="00240C99" w:rsidRDefault="009A6ED3" w:rsidP="001059BE">
      <w:pPr>
        <w:numPr>
          <w:ilvl w:val="0"/>
          <w:numId w:val="4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publication limite l’information des parties prenantes sur le développement du secteur minier.</w:t>
      </w:r>
    </w:p>
    <w:p w14:paraId="0AEE36F0" w14:textId="77777777" w:rsidR="009A6ED3" w:rsidRPr="00240C99" w:rsidRDefault="009A6ED3" w:rsidP="001059BE">
      <w:pPr>
        <w:numPr>
          <w:ilvl w:val="0"/>
          <w:numId w:val="4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Instituer une </w:t>
      </w:r>
      <w:r w:rsidRPr="00240C99">
        <w:rPr>
          <w:rFonts w:ascii="Kohinoor Devanagari" w:hAnsi="Kohinoor Devanagari" w:cs="Kohinoor Devanagari"/>
          <w:b/>
          <w:bCs/>
          <w:sz w:val="20"/>
          <w:szCs w:val="20"/>
        </w:rPr>
        <w:t>note sectorielle trimestrielle ou semestrielle</w:t>
      </w:r>
      <w:r w:rsidRPr="00240C99">
        <w:rPr>
          <w:rFonts w:ascii="Kohinoor Devanagari" w:hAnsi="Kohinoor Devanagari" w:cs="Kohinoor Devanagari"/>
          <w:sz w:val="20"/>
          <w:szCs w:val="20"/>
        </w:rPr>
        <w:t>, consolidant les données non confidentielles issues des permis de recherche, à publier via le site du MINMIDT.</w:t>
      </w:r>
    </w:p>
    <w:p w14:paraId="6FBE53D3" w14:textId="77777777" w:rsidR="009A6ED3" w:rsidRPr="00240C99" w:rsidRDefault="009A6ED3"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Présentation annuelle interne</w:t>
      </w:r>
    </w:p>
    <w:p w14:paraId="73A2C028" w14:textId="77777777" w:rsidR="009A6ED3" w:rsidRPr="00240C99" w:rsidRDefault="009A6ED3" w:rsidP="001059BE">
      <w:pPr>
        <w:numPr>
          <w:ilvl w:val="0"/>
          <w:numId w:val="4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w:t>
      </w:r>
    </w:p>
    <w:p w14:paraId="45B2BE22" w14:textId="77777777" w:rsidR="009A6ED3" w:rsidRPr="00240C99" w:rsidRDefault="009A6ED3" w:rsidP="001059BE">
      <w:pPr>
        <w:numPr>
          <w:ilvl w:val="0"/>
          <w:numId w:val="4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Direction organise annuellement une présentation interne sur l’état d’avancement des permis de recherche. Cette présentation n’est actuellement pas diffusée au public, bien que les informations présentées ne soient pas confidentielles.</w:t>
      </w:r>
    </w:p>
    <w:p w14:paraId="75350513" w14:textId="77777777" w:rsidR="009A6ED3" w:rsidRPr="00240C99" w:rsidRDefault="009A6ED3" w:rsidP="001059BE">
      <w:pPr>
        <w:numPr>
          <w:ilvl w:val="0"/>
          <w:numId w:val="4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Perte d’opportunité d’améliorer la transparence proactive sur les projets en cours.</w:t>
      </w:r>
    </w:p>
    <w:p w14:paraId="0E10AB3B" w14:textId="77777777" w:rsidR="009A6ED3" w:rsidRPr="00240C99" w:rsidRDefault="009A6ED3" w:rsidP="001059BE">
      <w:pPr>
        <w:numPr>
          <w:ilvl w:val="0"/>
          <w:numId w:val="4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Formaliser la publication annuelle de cette présentation sous forme de </w:t>
      </w:r>
      <w:r w:rsidRPr="00240C99">
        <w:rPr>
          <w:rFonts w:ascii="Kohinoor Devanagari" w:hAnsi="Kohinoor Devanagari" w:cs="Kohinoor Devanagari"/>
          <w:b/>
          <w:bCs/>
          <w:sz w:val="20"/>
          <w:szCs w:val="20"/>
        </w:rPr>
        <w:t>rapport synthétique public</w:t>
      </w:r>
      <w:r w:rsidRPr="00240C99">
        <w:rPr>
          <w:rFonts w:ascii="Kohinoor Devanagari" w:hAnsi="Kohinoor Devanagari" w:cs="Kohinoor Devanagari"/>
          <w:sz w:val="20"/>
          <w:szCs w:val="20"/>
        </w:rPr>
        <w:t>, dans le respect des formats recommandés par la Norme ITIE.</w:t>
      </w:r>
    </w:p>
    <w:p w14:paraId="0EFF4DEA" w14:textId="77777777" w:rsidR="00C774F0" w:rsidRDefault="00C774F0">
      <w:pPr>
        <w:rPr>
          <w:rFonts w:ascii="Kohinoor Devanagari" w:eastAsia="Times New Roman" w:hAnsi="Kohinoor Devanagari" w:cs="Kohinoor Devanagari"/>
          <w:b/>
          <w:bCs/>
          <w:sz w:val="20"/>
          <w:szCs w:val="20"/>
        </w:rPr>
      </w:pPr>
      <w:r>
        <w:rPr>
          <w:rFonts w:ascii="Kohinoor Devanagari" w:eastAsia="Times New Roman" w:hAnsi="Kohinoor Devanagari" w:cs="Kohinoor Devanagari"/>
          <w:b/>
          <w:bCs/>
          <w:sz w:val="20"/>
          <w:szCs w:val="20"/>
        </w:rPr>
        <w:br w:type="page"/>
      </w:r>
    </w:p>
    <w:p w14:paraId="6E3EB1A9" w14:textId="1BFB33CF" w:rsidR="00583A1D" w:rsidRPr="00240C99" w:rsidRDefault="000A499C"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Sous-Direction des Hydrocarbures</w:t>
      </w:r>
    </w:p>
    <w:p w14:paraId="44B42CE2" w14:textId="68E404FB" w:rsidR="00E167D7" w:rsidRPr="00240C99" w:rsidRDefault="00E167D7"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Données sur le gaz torché</w:t>
      </w:r>
    </w:p>
    <w:p w14:paraId="4F2ABAC2" w14:textId="77777777" w:rsidR="00E167D7" w:rsidRPr="00240C99" w:rsidRDefault="00E167D7" w:rsidP="001059BE">
      <w:pPr>
        <w:numPr>
          <w:ilvl w:val="0"/>
          <w:numId w:val="4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institutionnel</w:t>
      </w:r>
    </w:p>
    <w:p w14:paraId="354B8A74" w14:textId="77777777" w:rsidR="00E167D7" w:rsidRPr="00240C99" w:rsidRDefault="00E167D7" w:rsidP="001059BE">
      <w:pPr>
        <w:numPr>
          <w:ilvl w:val="0"/>
          <w:numId w:val="4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sous-direction dispose de données relatives au gaz torché (</w:t>
      </w:r>
      <w:proofErr w:type="spellStart"/>
      <w:r w:rsidRPr="00240C99">
        <w:rPr>
          <w:rFonts w:ascii="Kohinoor Devanagari" w:hAnsi="Kohinoor Devanagari" w:cs="Kohinoor Devanagari"/>
          <w:sz w:val="20"/>
          <w:szCs w:val="20"/>
        </w:rPr>
        <w:t>flared</w:t>
      </w:r>
      <w:proofErr w:type="spellEnd"/>
      <w:r w:rsidRPr="00240C99">
        <w:rPr>
          <w:rFonts w:ascii="Kohinoor Devanagari" w:hAnsi="Kohinoor Devanagari" w:cs="Kohinoor Devanagari"/>
          <w:sz w:val="20"/>
          <w:szCs w:val="20"/>
        </w:rPr>
        <w:t xml:space="preserve"> </w:t>
      </w:r>
      <w:proofErr w:type="spellStart"/>
      <w:r w:rsidRPr="00240C99">
        <w:rPr>
          <w:rFonts w:ascii="Kohinoor Devanagari" w:hAnsi="Kohinoor Devanagari" w:cs="Kohinoor Devanagari"/>
          <w:sz w:val="20"/>
          <w:szCs w:val="20"/>
        </w:rPr>
        <w:t>gas</w:t>
      </w:r>
      <w:proofErr w:type="spellEnd"/>
      <w:r w:rsidRPr="00240C99">
        <w:rPr>
          <w:rFonts w:ascii="Kohinoor Devanagari" w:hAnsi="Kohinoor Devanagari" w:cs="Kohinoor Devanagari"/>
          <w:sz w:val="20"/>
          <w:szCs w:val="20"/>
        </w:rPr>
        <w:t>), mais leur publication est soumise à l’autorisation préalable de la SNH, qui détient le mandat exclusif de gestion des données techniques à travers le Centre d’Information Pétrolière.</w:t>
      </w:r>
    </w:p>
    <w:p w14:paraId="2E0B6626" w14:textId="77777777" w:rsidR="00E167D7" w:rsidRPr="00240C99" w:rsidRDefault="00E167D7" w:rsidP="001059BE">
      <w:pPr>
        <w:numPr>
          <w:ilvl w:val="0"/>
          <w:numId w:val="4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divulgation de ces données empêche un suivi régulier des émissions, en contradiction avec les engagements environnementaux.</w:t>
      </w:r>
    </w:p>
    <w:p w14:paraId="065A89C3" w14:textId="77777777" w:rsidR="00E167D7" w:rsidRPr="00240C99" w:rsidRDefault="00E167D7" w:rsidP="001059BE">
      <w:pPr>
        <w:numPr>
          <w:ilvl w:val="0"/>
          <w:numId w:val="4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Établir un </w:t>
      </w:r>
      <w:r w:rsidRPr="00240C99">
        <w:rPr>
          <w:rFonts w:ascii="Kohinoor Devanagari" w:hAnsi="Kohinoor Devanagari" w:cs="Kohinoor Devanagari"/>
          <w:b/>
          <w:bCs/>
          <w:sz w:val="20"/>
          <w:szCs w:val="20"/>
        </w:rPr>
        <w:t>protocole formel avec la SNH</w:t>
      </w:r>
      <w:r w:rsidRPr="00240C99">
        <w:rPr>
          <w:rFonts w:ascii="Kohinoor Devanagari" w:hAnsi="Kohinoor Devanagari" w:cs="Kohinoor Devanagari"/>
          <w:sz w:val="20"/>
          <w:szCs w:val="20"/>
        </w:rPr>
        <w:t xml:space="preserve"> pour permettre la diffusion périodique, même agrégée, des volumes de gaz torché.</w:t>
      </w:r>
    </w:p>
    <w:p w14:paraId="5A63BC07" w14:textId="77777777" w:rsidR="00E167D7" w:rsidRPr="00240C99" w:rsidRDefault="00E167D7"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Études d’impact environnemental et consultations communautaires</w:t>
      </w:r>
    </w:p>
    <w:p w14:paraId="3F314F9B" w14:textId="77777777" w:rsidR="00E167D7" w:rsidRPr="00240C99" w:rsidRDefault="00E167D7" w:rsidP="001059BE">
      <w:pPr>
        <w:numPr>
          <w:ilvl w:val="0"/>
          <w:numId w:val="4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 et institutionnel</w:t>
      </w:r>
    </w:p>
    <w:p w14:paraId="61C7B8D6" w14:textId="77777777" w:rsidR="00E167D7" w:rsidRPr="00240C99" w:rsidRDefault="00E167D7" w:rsidP="001059BE">
      <w:pPr>
        <w:numPr>
          <w:ilvl w:val="0"/>
          <w:numId w:val="4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sous-direction détient certaines études d’impact, mais de façon partielle. La collecte des procès-verbaux des consultations communautaires n’est pas systématique. Les sources principales sont les entreprises opératrices et le ministère de l’Environnement.</w:t>
      </w:r>
    </w:p>
    <w:p w14:paraId="460AC72D" w14:textId="77777777" w:rsidR="00E167D7" w:rsidRPr="00240C99" w:rsidRDefault="00E167D7" w:rsidP="001059BE">
      <w:pPr>
        <w:numPr>
          <w:ilvl w:val="0"/>
          <w:numId w:val="4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centralisation limite l’accès public à ces informations essentielles à l’évaluation des impacts sociaux et environnementaux.</w:t>
      </w:r>
    </w:p>
    <w:p w14:paraId="2687F698" w14:textId="77777777" w:rsidR="00E167D7" w:rsidRPr="00240C99" w:rsidRDefault="00E167D7" w:rsidP="001059BE">
      <w:pPr>
        <w:numPr>
          <w:ilvl w:val="0"/>
          <w:numId w:val="4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Mettre en place un </w:t>
      </w:r>
      <w:r w:rsidRPr="00240C99">
        <w:rPr>
          <w:rFonts w:ascii="Kohinoor Devanagari" w:hAnsi="Kohinoor Devanagari" w:cs="Kohinoor Devanagari"/>
          <w:b/>
          <w:bCs/>
          <w:sz w:val="20"/>
          <w:szCs w:val="20"/>
        </w:rPr>
        <w:t>guichet unique interinstitutionnel</w:t>
      </w:r>
      <w:r w:rsidRPr="00240C99">
        <w:rPr>
          <w:rFonts w:ascii="Kohinoor Devanagari" w:hAnsi="Kohinoor Devanagari" w:cs="Kohinoor Devanagari"/>
          <w:sz w:val="20"/>
          <w:szCs w:val="20"/>
        </w:rPr>
        <w:t>, en coordination avec le ministère de l’Environnement, pour centraliser et publier ces documents.</w:t>
      </w:r>
    </w:p>
    <w:p w14:paraId="490BF89D" w14:textId="77777777" w:rsidR="00E167D7" w:rsidRPr="00240C99" w:rsidRDefault="00E167D7"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Mandat institutionnel</w:t>
      </w:r>
    </w:p>
    <w:p w14:paraId="6B4D7F3E" w14:textId="77777777" w:rsidR="00E167D7" w:rsidRPr="00240C99" w:rsidRDefault="00E167D7" w:rsidP="001059BE">
      <w:pPr>
        <w:numPr>
          <w:ilvl w:val="0"/>
          <w:numId w:val="4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Organisationnel</w:t>
      </w:r>
    </w:p>
    <w:p w14:paraId="1717500F" w14:textId="77777777" w:rsidR="00E167D7" w:rsidRPr="00240C99" w:rsidRDefault="00E167D7" w:rsidP="001059BE">
      <w:pPr>
        <w:numPr>
          <w:ilvl w:val="0"/>
          <w:numId w:val="4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sous-direction dispose d’un mandat centré sur le suivi de la conformité réglementaire des opérations pétrolières. La centralisation, la gestion et la diffusion des données techniques relèvent exclusivement de la Société Nationale des Hydrocarbures (SNH), à travers le Centre d’Information Pétrolière.</w:t>
      </w:r>
    </w:p>
    <w:p w14:paraId="7466FD87" w14:textId="77777777" w:rsidR="00E167D7" w:rsidRPr="00240C99" w:rsidRDefault="00E167D7" w:rsidP="001059BE">
      <w:pPr>
        <w:numPr>
          <w:ilvl w:val="0"/>
          <w:numId w:val="4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répartition des responsabilités limite l’implication directe de la sous-direction dans les mécanismes actuels de divulgation technique.</w:t>
      </w:r>
    </w:p>
    <w:p w14:paraId="2E191915" w14:textId="77777777" w:rsidR="00E167D7" w:rsidRPr="00240C99" w:rsidRDefault="00E167D7" w:rsidP="001059BE">
      <w:pPr>
        <w:numPr>
          <w:ilvl w:val="0"/>
          <w:numId w:val="4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Définir formellement, via une note interinstitutionnelle ou circulaire, les responsabilités respectives en matière de collecte, de validation et de publication des données du secteur, afin de faciliter la coordination pour la divulgation systématique, conformément aux exigences de la Norme ITIE 2023.</w:t>
      </w:r>
    </w:p>
    <w:p w14:paraId="2D9AECFD" w14:textId="30CC23E4" w:rsidR="0028000F" w:rsidRPr="00240C99" w:rsidRDefault="006B1910"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D</w:t>
      </w:r>
      <w:r w:rsidR="0022510B" w:rsidRPr="00240C99">
        <w:rPr>
          <w:rFonts w:ascii="Kohinoor Devanagari" w:eastAsia="Times New Roman" w:hAnsi="Kohinoor Devanagari" w:cs="Kohinoor Devanagari"/>
          <w:b/>
          <w:bCs/>
          <w:color w:val="auto"/>
          <w:sz w:val="20"/>
          <w:szCs w:val="20"/>
        </w:rPr>
        <w:t>irection Générale du Budget (DGB)</w:t>
      </w:r>
    </w:p>
    <w:p w14:paraId="7AEBA1C8" w14:textId="2545051F" w:rsidR="00865D16" w:rsidRPr="00240C99" w:rsidRDefault="00865D1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Données sur les participations de l’État</w:t>
      </w:r>
    </w:p>
    <w:p w14:paraId="3CAA7C14" w14:textId="77777777" w:rsidR="00865D16" w:rsidRPr="00240C99" w:rsidRDefault="00865D16" w:rsidP="001059BE">
      <w:pPr>
        <w:numPr>
          <w:ilvl w:val="0"/>
          <w:numId w:val="5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Budgétaire et institutionnel</w:t>
      </w:r>
    </w:p>
    <w:p w14:paraId="7366E002" w14:textId="77777777" w:rsidR="00865D16" w:rsidRPr="00240C99" w:rsidRDefault="00865D16" w:rsidP="001059BE">
      <w:pPr>
        <w:numPr>
          <w:ilvl w:val="0"/>
          <w:numId w:val="5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Les données sur les participations de l’État dans les entreprises publiques sont compilées et publiées annuellement en annexe de la loi de finances, une fois les comptes approuvés par les conseils d’administration et les assemblées générales. L’annexe inclut également les subventions versées aux entreprises publiques. Les informations sur l’endettement et les garanties sont publiées séparément par la CAA.</w:t>
      </w:r>
    </w:p>
    <w:p w14:paraId="4CAC9746" w14:textId="77777777" w:rsidR="00865D16" w:rsidRPr="00240C99" w:rsidRDefault="00865D16" w:rsidP="001059BE">
      <w:pPr>
        <w:numPr>
          <w:ilvl w:val="0"/>
          <w:numId w:val="5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 fréquence annuelle et la diffusion sous forme de document budgétaire limitent l’exploitation et l’accessibilité rapide de ces données par le public.</w:t>
      </w:r>
    </w:p>
    <w:p w14:paraId="14343DA9" w14:textId="77777777" w:rsidR="00865D16" w:rsidRPr="00240C99" w:rsidRDefault="00865D16" w:rsidP="001059BE">
      <w:pPr>
        <w:numPr>
          <w:ilvl w:val="0"/>
          <w:numId w:val="5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Étudier la faisabilité de mettre en ligne, de manière </w:t>
      </w:r>
      <w:r w:rsidRPr="00240C99">
        <w:rPr>
          <w:rFonts w:ascii="Kohinoor Devanagari" w:hAnsi="Kohinoor Devanagari" w:cs="Kohinoor Devanagari"/>
          <w:b/>
          <w:bCs/>
          <w:sz w:val="20"/>
          <w:szCs w:val="20"/>
        </w:rPr>
        <w:t>trimestrielle</w:t>
      </w:r>
      <w:r w:rsidRPr="00240C99">
        <w:rPr>
          <w:rFonts w:ascii="Kohinoor Devanagari" w:hAnsi="Kohinoor Devanagari" w:cs="Kohinoor Devanagari"/>
          <w:sz w:val="20"/>
          <w:szCs w:val="20"/>
        </w:rPr>
        <w:t>, un tableau de suivi synthétique des participations, subventions et engagements de l’État, dans un format lisible (CSV, Excel), à travers le site du ministère des Finances ou une plateforme dédiée. Cette publication pourrait s’appuyer sur des extractions internes validées, même provisoires.</w:t>
      </w:r>
    </w:p>
    <w:p w14:paraId="332E3F15" w14:textId="77777777" w:rsidR="00865D16" w:rsidRPr="00240C99" w:rsidRDefault="00865D1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Dépenses quasi budgétaires</w:t>
      </w:r>
    </w:p>
    <w:p w14:paraId="1036D56F" w14:textId="77777777" w:rsidR="00865D16" w:rsidRPr="00240C99" w:rsidRDefault="00865D16" w:rsidP="001059BE">
      <w:pPr>
        <w:numPr>
          <w:ilvl w:val="0"/>
          <w:numId w:val="5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Organisationnel</w:t>
      </w:r>
    </w:p>
    <w:p w14:paraId="22A6BDC5" w14:textId="77777777" w:rsidR="00865D16" w:rsidRPr="00240C99" w:rsidRDefault="00865D16" w:rsidP="001059BE">
      <w:pPr>
        <w:numPr>
          <w:ilvl w:val="0"/>
          <w:numId w:val="5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DGB indique qu’aucune dépense quasi budgétaire n’a été identifiée dans le cas du Cameroun à ce jour.</w:t>
      </w:r>
    </w:p>
    <w:p w14:paraId="71CAFC1D" w14:textId="77777777" w:rsidR="00865D16" w:rsidRPr="00240C99" w:rsidRDefault="00865D16" w:rsidP="001059BE">
      <w:pPr>
        <w:numPr>
          <w:ilvl w:val="0"/>
          <w:numId w:val="5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clarification contribue à renforcer la transparence des flux budgétaires.</w:t>
      </w:r>
    </w:p>
    <w:p w14:paraId="1336E4AA" w14:textId="77777777" w:rsidR="00865D16" w:rsidRPr="00240C99" w:rsidRDefault="00865D16" w:rsidP="001059BE">
      <w:pPr>
        <w:numPr>
          <w:ilvl w:val="0"/>
          <w:numId w:val="5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Intégrer une mention explicite dans les futures publications ITIE pour formaliser cette position.</w:t>
      </w:r>
    </w:p>
    <w:p w14:paraId="3BEF189D" w14:textId="77777777" w:rsidR="00865D16" w:rsidRPr="00240C99" w:rsidRDefault="00865D1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Documentation complémentaire</w:t>
      </w:r>
    </w:p>
    <w:p w14:paraId="5E90041E" w14:textId="77777777" w:rsidR="00865D16" w:rsidRPr="00240C99" w:rsidRDefault="00865D16" w:rsidP="001059BE">
      <w:pPr>
        <w:numPr>
          <w:ilvl w:val="0"/>
          <w:numId w:val="5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Opérationnel</w:t>
      </w:r>
    </w:p>
    <w:p w14:paraId="55FADEDE" w14:textId="77777777" w:rsidR="00865D16" w:rsidRPr="00240C99" w:rsidRDefault="00865D16" w:rsidP="001059BE">
      <w:pPr>
        <w:numPr>
          <w:ilvl w:val="0"/>
          <w:numId w:val="5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Des informations supplémentaires sont contenues dans le </w:t>
      </w:r>
      <w:r w:rsidRPr="00240C99">
        <w:rPr>
          <w:rFonts w:ascii="Kohinoor Devanagari" w:hAnsi="Kohinoor Devanagari" w:cs="Kohinoor Devanagari"/>
          <w:b/>
          <w:bCs/>
          <w:sz w:val="20"/>
          <w:szCs w:val="20"/>
        </w:rPr>
        <w:t>Tome Vert</w:t>
      </w:r>
      <w:r w:rsidRPr="00240C99">
        <w:rPr>
          <w:rFonts w:ascii="Kohinoor Devanagari" w:hAnsi="Kohinoor Devanagari" w:cs="Kohinoor Devanagari"/>
          <w:sz w:val="20"/>
          <w:szCs w:val="20"/>
        </w:rPr>
        <w:t xml:space="preserve"> publié sur la plateforme parlementaire. Ce document n’est actuellement pas en accès public direct.</w:t>
      </w:r>
    </w:p>
    <w:p w14:paraId="1444E10A" w14:textId="77777777" w:rsidR="00865D16" w:rsidRPr="00240C99" w:rsidRDefault="00865D16" w:rsidP="001059BE">
      <w:pPr>
        <w:numPr>
          <w:ilvl w:val="0"/>
          <w:numId w:val="5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Ressource importante pour la transparence budgétaire, mais difficilement accessible au public.</w:t>
      </w:r>
    </w:p>
    <w:p w14:paraId="13E5335C" w14:textId="3179EFCF" w:rsidR="007070DA" w:rsidRPr="00240C99" w:rsidRDefault="00865D16" w:rsidP="001059BE">
      <w:pPr>
        <w:numPr>
          <w:ilvl w:val="0"/>
          <w:numId w:val="5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 xml:space="preserve">Actions suggérées : </w:t>
      </w:r>
      <w:r w:rsidRPr="00240C99">
        <w:rPr>
          <w:rFonts w:ascii="Kohinoor Devanagari" w:hAnsi="Kohinoor Devanagari" w:cs="Kohinoor Devanagari"/>
          <w:sz w:val="20"/>
          <w:szCs w:val="20"/>
        </w:rPr>
        <w:t>Examiner les modalités de mise à disposition publique du Tome Vert, en coordination avec les instances parlementaires, pour en faciliter l’intégration dans les outils de transparence ITIE.</w:t>
      </w:r>
    </w:p>
    <w:p w14:paraId="4995DBEE" w14:textId="77777777" w:rsidR="00C774F0" w:rsidRDefault="00C774F0">
      <w:pPr>
        <w:rPr>
          <w:rFonts w:ascii="Kohinoor Devanagari" w:eastAsia="Times New Roman" w:hAnsi="Kohinoor Devanagari" w:cs="Kohinoor Devanagari"/>
          <w:b/>
          <w:bCs/>
          <w:sz w:val="20"/>
          <w:szCs w:val="20"/>
        </w:rPr>
      </w:pPr>
      <w:r>
        <w:rPr>
          <w:rFonts w:ascii="Kohinoor Devanagari" w:eastAsia="Times New Roman" w:hAnsi="Kohinoor Devanagari" w:cs="Kohinoor Devanagari"/>
          <w:b/>
          <w:bCs/>
          <w:sz w:val="20"/>
          <w:szCs w:val="20"/>
        </w:rPr>
        <w:br w:type="page"/>
      </w:r>
    </w:p>
    <w:p w14:paraId="1E631FC1" w14:textId="735CC8F2" w:rsidR="004C4AEC" w:rsidRPr="00240C99" w:rsidRDefault="00A507A3"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Direction Générale des Douanes (DGD)</w:t>
      </w:r>
    </w:p>
    <w:p w14:paraId="2A16267E" w14:textId="55943C5D" w:rsidR="00D419FD" w:rsidRPr="00240C99" w:rsidRDefault="00D419FD"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Contraintes juridiques et institutionnelles</w:t>
      </w:r>
    </w:p>
    <w:p w14:paraId="2ECF886A" w14:textId="77777777" w:rsidR="00D419FD" w:rsidRPr="00240C99" w:rsidRDefault="00D419FD" w:rsidP="001059BE">
      <w:pPr>
        <w:numPr>
          <w:ilvl w:val="0"/>
          <w:numId w:val="5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 et institutionnel</w:t>
      </w:r>
    </w:p>
    <w:p w14:paraId="6AB11FC6" w14:textId="77777777" w:rsidR="00D419FD" w:rsidRPr="00240C99" w:rsidRDefault="00D419FD" w:rsidP="001059BE">
      <w:pPr>
        <w:numPr>
          <w:ilvl w:val="0"/>
          <w:numId w:val="5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loi sur les statistiques au Cameroun interdit la divulgation de données désagrégées par entité sans l’autorisation de l’autorité compétente en matière de statistiques. Cela limite la capacité de la DGD à publier certaines informations, même lorsque celles-ci sont techniquement disponibles.</w:t>
      </w:r>
    </w:p>
    <w:p w14:paraId="281CE3E5" w14:textId="77777777" w:rsidR="00D419FD" w:rsidRPr="00240C99" w:rsidRDefault="00D419FD" w:rsidP="001059BE">
      <w:pPr>
        <w:numPr>
          <w:ilvl w:val="0"/>
          <w:numId w:val="5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 divulgation systématique se heurte à des obstacles juridiques, particulièrement en ce qui concerne les données par projet ou par opérateur.</w:t>
      </w:r>
    </w:p>
    <w:p w14:paraId="775F906B" w14:textId="77777777" w:rsidR="00D419FD" w:rsidRPr="00240C99" w:rsidRDefault="00D419FD" w:rsidP="001059BE">
      <w:pPr>
        <w:numPr>
          <w:ilvl w:val="0"/>
          <w:numId w:val="5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Initier une concertation interinstitutionnelle avec l’Institut national de la statistique pour encadrer juridiquement la divulgation désagrégée à des fins de transparence sectorielle.</w:t>
      </w:r>
    </w:p>
    <w:p w14:paraId="28345CF9" w14:textId="77777777" w:rsidR="00D419FD" w:rsidRPr="00240C99" w:rsidRDefault="00D419FD"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Contraintes techniques et contractuelles</w:t>
      </w:r>
    </w:p>
    <w:p w14:paraId="7BDF78EC" w14:textId="77777777" w:rsidR="00D419FD" w:rsidRPr="00240C99" w:rsidRDefault="00D419FD" w:rsidP="001059BE">
      <w:pPr>
        <w:numPr>
          <w:ilvl w:val="0"/>
          <w:numId w:val="5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contractuel</w:t>
      </w:r>
    </w:p>
    <w:p w14:paraId="472EE5FA" w14:textId="77777777" w:rsidR="00D419FD" w:rsidRPr="00240C99" w:rsidRDefault="00D419FD" w:rsidP="001059BE">
      <w:pPr>
        <w:numPr>
          <w:ilvl w:val="0"/>
          <w:numId w:val="5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système CAMSYS nécessite des avenants contractuels avec le prestataire pour toute modification, y compris l’ajout de nouveaux champs ou l’extraction automatique de données.</w:t>
      </w:r>
    </w:p>
    <w:p w14:paraId="6D39858E" w14:textId="77777777" w:rsidR="00D419FD" w:rsidRPr="00240C99" w:rsidRDefault="00D419FD" w:rsidP="001059BE">
      <w:pPr>
        <w:numPr>
          <w:ilvl w:val="0"/>
          <w:numId w:val="5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Les développements nécessaires à la divulgation systématique peuvent entraîner des délais et des coûts supplémentaires.</w:t>
      </w:r>
    </w:p>
    <w:p w14:paraId="52C57B57" w14:textId="77777777" w:rsidR="00D419FD" w:rsidRPr="00240C99" w:rsidRDefault="00D419FD" w:rsidP="001059BE">
      <w:pPr>
        <w:numPr>
          <w:ilvl w:val="0"/>
          <w:numId w:val="5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Élaborer un cahier des charges clair (dictionnaire de données) en amont de toute requête de développement, en y intégrant les exigences spécifiques de la Norme ITIE.</w:t>
      </w:r>
    </w:p>
    <w:p w14:paraId="7D19A207" w14:textId="77777777" w:rsidR="00D419FD" w:rsidRPr="00240C99" w:rsidRDefault="00D419FD"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Données disponibles dans CAMSYS</w:t>
      </w:r>
    </w:p>
    <w:p w14:paraId="5B69D62F" w14:textId="77777777" w:rsidR="00D419FD" w:rsidRPr="00240C99" w:rsidRDefault="00D419FD" w:rsidP="001059BE">
      <w:pPr>
        <w:numPr>
          <w:ilvl w:val="0"/>
          <w:numId w:val="5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w:t>
      </w:r>
    </w:p>
    <w:p w14:paraId="064ABBCB" w14:textId="77777777" w:rsidR="00D419FD" w:rsidRPr="00240C99" w:rsidRDefault="00D419FD" w:rsidP="001059BE">
      <w:pPr>
        <w:numPr>
          <w:ilvl w:val="0"/>
          <w:numId w:val="5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CAMSYS contient des données sur les poids, unités de mesure, valeurs en douane, et autres informations pertinentes pour la Norme ITIE. Il intègre également un entrepôt de données pour la gestion des risques, bien qu’il ne soit pas encore pleinement opérationnel.</w:t>
      </w:r>
    </w:p>
    <w:p w14:paraId="7C1311BD" w14:textId="77777777" w:rsidR="00D419FD" w:rsidRPr="00240C99" w:rsidRDefault="00D419FD" w:rsidP="001059BE">
      <w:pPr>
        <w:numPr>
          <w:ilvl w:val="0"/>
          <w:numId w:val="5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Limites identifiées</w:t>
      </w:r>
      <w:r w:rsidRPr="00240C99">
        <w:rPr>
          <w:rFonts w:ascii="Kohinoor Devanagari" w:hAnsi="Kohinoor Devanagari" w:cs="Kohinoor Devanagari"/>
          <w:sz w:val="20"/>
          <w:szCs w:val="20"/>
        </w:rPr>
        <w:t xml:space="preserve"> :</w:t>
      </w:r>
    </w:p>
    <w:p w14:paraId="029C8C4E" w14:textId="77777777" w:rsidR="00D419FD" w:rsidRPr="00240C99" w:rsidRDefault="00D419FD" w:rsidP="001059BE">
      <w:pPr>
        <w:numPr>
          <w:ilvl w:val="1"/>
          <w:numId w:val="5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CAMSYS ne permet pas d’identifier systématiquement les contribuables relevant du secteur extractif en amont (hydrocarbures, mines) ; cette identification relève de la DGI.</w:t>
      </w:r>
    </w:p>
    <w:p w14:paraId="4ABF3D90" w14:textId="77777777" w:rsidR="00D419FD" w:rsidRPr="00240C99" w:rsidRDefault="00D419FD" w:rsidP="001059BE">
      <w:pPr>
        <w:numPr>
          <w:ilvl w:val="1"/>
          <w:numId w:val="5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Les données ne sont pas encore structurées par projet.</w:t>
      </w:r>
    </w:p>
    <w:p w14:paraId="25A9A41E" w14:textId="77777777" w:rsidR="00D419FD" w:rsidRPr="00240C99" w:rsidRDefault="00D419FD" w:rsidP="001059BE">
      <w:pPr>
        <w:numPr>
          <w:ilvl w:val="0"/>
          <w:numId w:val="5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Impact</w:t>
      </w:r>
      <w:r w:rsidRPr="00240C99">
        <w:rPr>
          <w:rFonts w:ascii="Kohinoor Devanagari" w:hAnsi="Kohinoor Devanagari" w:cs="Kohinoor Devanagari"/>
          <w:sz w:val="20"/>
          <w:szCs w:val="20"/>
        </w:rPr>
        <w:t xml:space="preserve"> : Le potentiel d’exploitation de CAMSYS est réel mais limité par l’absence d’intégration complète des données sectorielles et par l’identification non systématique des redevables extractifs.</w:t>
      </w:r>
    </w:p>
    <w:p w14:paraId="7809E577" w14:textId="77777777" w:rsidR="00D419FD" w:rsidRPr="00240C99" w:rsidRDefault="00D419FD" w:rsidP="001059BE">
      <w:pPr>
        <w:numPr>
          <w:ilvl w:val="0"/>
          <w:numId w:val="5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2EB50CE1" w14:textId="77777777" w:rsidR="00D419FD" w:rsidRPr="00240C99" w:rsidRDefault="00D419FD" w:rsidP="001059BE">
      <w:pPr>
        <w:numPr>
          <w:ilvl w:val="1"/>
          <w:numId w:val="5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Collaborer avec la DGI pour intégrer un identifiant sectoriel dans le registre des contribuables.</w:t>
      </w:r>
    </w:p>
    <w:p w14:paraId="72BBD6F2" w14:textId="77777777" w:rsidR="00D419FD" w:rsidRPr="00240C99" w:rsidRDefault="00D419FD" w:rsidP="001059BE">
      <w:pPr>
        <w:numPr>
          <w:ilvl w:val="1"/>
          <w:numId w:val="5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Structurer les données par projet dans les futures versions de CAMSYS.</w:t>
      </w:r>
    </w:p>
    <w:p w14:paraId="2B31FF7F" w14:textId="77777777" w:rsidR="00D419FD" w:rsidRPr="00240C99" w:rsidRDefault="00D419FD" w:rsidP="001059BE">
      <w:pPr>
        <w:numPr>
          <w:ilvl w:val="1"/>
          <w:numId w:val="5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Développer une extraction ciblée des données d’exportation extractives pour renforcer la transparence sur les volumes et la valorisation des matières premières.</w:t>
      </w:r>
    </w:p>
    <w:p w14:paraId="38236F19" w14:textId="77777777" w:rsidR="00D419FD" w:rsidRPr="00240C99" w:rsidRDefault="00D419FD"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Coordination interinstitutionnelle</w:t>
      </w:r>
    </w:p>
    <w:p w14:paraId="4269E241" w14:textId="77777777" w:rsidR="00D419FD" w:rsidRPr="00240C99" w:rsidRDefault="00D419FD" w:rsidP="001059BE">
      <w:pPr>
        <w:numPr>
          <w:ilvl w:val="0"/>
          <w:numId w:val="5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Organisationnel</w:t>
      </w:r>
    </w:p>
    <w:p w14:paraId="7319BF16" w14:textId="77777777" w:rsidR="00D419FD" w:rsidRPr="00240C99" w:rsidRDefault="00D419FD" w:rsidP="001059BE">
      <w:pPr>
        <w:numPr>
          <w:ilvl w:val="0"/>
          <w:numId w:val="5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DGD participe au Comité national de validation de la balance consolidée, qui permet un rapprochement régulier entre les données issues de CAMSYS (Douanes) et celles du système PATRIMONIE (Trésor).</w:t>
      </w:r>
    </w:p>
    <w:p w14:paraId="3DC4A947" w14:textId="77777777" w:rsidR="00D419FD" w:rsidRPr="00240C99" w:rsidRDefault="00D419FD" w:rsidP="001059BE">
      <w:pPr>
        <w:numPr>
          <w:ilvl w:val="0"/>
          <w:numId w:val="5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 cadre constitue une bonne base pour assurer la cohérence des données collectées.</w:t>
      </w:r>
    </w:p>
    <w:p w14:paraId="3C9ECD0E" w14:textId="77777777" w:rsidR="00D419FD" w:rsidRPr="00240C99" w:rsidRDefault="00D419FD" w:rsidP="001059BE">
      <w:pPr>
        <w:numPr>
          <w:ilvl w:val="0"/>
          <w:numId w:val="5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Formaliser une transmission périodique des données consolidées au STP-ITIE pour publication.</w:t>
      </w:r>
    </w:p>
    <w:p w14:paraId="332D57C5" w14:textId="77777777" w:rsidR="00D419FD" w:rsidRPr="00240C99" w:rsidRDefault="00D419FD"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 Besoins exprimés</w:t>
      </w:r>
    </w:p>
    <w:p w14:paraId="6D8CF78E" w14:textId="77777777" w:rsidR="00D419FD" w:rsidRPr="00240C99" w:rsidRDefault="00D419FD" w:rsidP="001059BE">
      <w:pPr>
        <w:numPr>
          <w:ilvl w:val="0"/>
          <w:numId w:val="5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Renforcement des capacités</w:t>
      </w:r>
    </w:p>
    <w:p w14:paraId="5401FE5E" w14:textId="77777777" w:rsidR="00D419FD" w:rsidRPr="00240C99" w:rsidRDefault="00D419FD" w:rsidP="001059BE">
      <w:pPr>
        <w:numPr>
          <w:ilvl w:val="0"/>
          <w:numId w:val="5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DGD souligne le besoin de formations sur la Norme ITIE, notamment sur la structuration des données extractives et les bonnes pratiques de divulgation.</w:t>
      </w:r>
    </w:p>
    <w:p w14:paraId="6B8838AF" w14:textId="77777777" w:rsidR="00D419FD" w:rsidRPr="00240C99" w:rsidRDefault="00D419FD" w:rsidP="001059BE">
      <w:pPr>
        <w:numPr>
          <w:ilvl w:val="0"/>
          <w:numId w:val="5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Intégrer la DGD dans les prochains ateliers de renforcement de capacités ciblant les régies financières et techniques.</w:t>
      </w:r>
    </w:p>
    <w:p w14:paraId="7EF9EC64" w14:textId="3E1A8A8A" w:rsidR="00C6426B" w:rsidRPr="00240C99" w:rsidRDefault="00520084"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Société Nationale des Mines (SONAMINES)</w:t>
      </w:r>
    </w:p>
    <w:p w14:paraId="37D3D662" w14:textId="7E222BB8" w:rsidR="00A32496" w:rsidRPr="00240C99" w:rsidRDefault="00A3249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Statut et pratiques de publication</w:t>
      </w:r>
    </w:p>
    <w:p w14:paraId="54D44A10" w14:textId="77777777" w:rsidR="00A32496" w:rsidRPr="00240C99" w:rsidRDefault="00A32496" w:rsidP="001059BE">
      <w:pPr>
        <w:numPr>
          <w:ilvl w:val="0"/>
          <w:numId w:val="6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w:t>
      </w:r>
    </w:p>
    <w:p w14:paraId="6F2A2732" w14:textId="77777777" w:rsidR="00A32496" w:rsidRPr="00240C99" w:rsidRDefault="00A32496" w:rsidP="001059BE">
      <w:pPr>
        <w:numPr>
          <w:ilvl w:val="0"/>
          <w:numId w:val="6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SONAMINE, créée il y a quatre ans, dispose d’un site web officiel sur lequel sont publiées certaines informations telles que les procédures de passation des marchés et la politique de commercialisation. En revanche, les états financiers et les rapports de gestion ne sont pas encore publiés, en raison de décisions internes des organes de gouvernance.</w:t>
      </w:r>
    </w:p>
    <w:p w14:paraId="3F2E8BC5" w14:textId="77777777" w:rsidR="00A32496" w:rsidRPr="00240C99" w:rsidRDefault="00A32496" w:rsidP="001059BE">
      <w:pPr>
        <w:numPr>
          <w:ilvl w:val="0"/>
          <w:numId w:val="6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publication limite la disponibilité de données financières fiables, entravant la finalisation de la divulgation systématique.</w:t>
      </w:r>
    </w:p>
    <w:p w14:paraId="77B4DFE7" w14:textId="77777777" w:rsidR="00A32496" w:rsidRPr="00240C99" w:rsidRDefault="00A32496" w:rsidP="001059BE">
      <w:pPr>
        <w:numPr>
          <w:ilvl w:val="0"/>
          <w:numId w:val="6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Actions suggérées</w:t>
      </w:r>
      <w:r w:rsidRPr="00240C99">
        <w:rPr>
          <w:rFonts w:ascii="Kohinoor Devanagari" w:hAnsi="Kohinoor Devanagari" w:cs="Kohinoor Devanagari"/>
          <w:sz w:val="20"/>
          <w:szCs w:val="20"/>
        </w:rPr>
        <w:t xml:space="preserve"> : Mettre en place un calendrier de publication annuelle des états financiers et des rapports de gestion, sous une forme adaptée à la divulgation publique, afin de renforcer la transparence institutionnelle et la fiabilité des données.</w:t>
      </w:r>
    </w:p>
    <w:p w14:paraId="70FE8ADD" w14:textId="77777777" w:rsidR="00A32496" w:rsidRPr="00240C99" w:rsidRDefault="00A3249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Procédures d’achat et diligence raisonnable</w:t>
      </w:r>
    </w:p>
    <w:p w14:paraId="70223A7E" w14:textId="77777777" w:rsidR="00A32496" w:rsidRPr="00240C99" w:rsidRDefault="00A32496" w:rsidP="001059BE">
      <w:pPr>
        <w:numPr>
          <w:ilvl w:val="0"/>
          <w:numId w:val="6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Organisationnel</w:t>
      </w:r>
    </w:p>
    <w:p w14:paraId="6C2AD780" w14:textId="77777777" w:rsidR="00A32496" w:rsidRPr="00240C99" w:rsidRDefault="00A32496" w:rsidP="001059BE">
      <w:pPr>
        <w:numPr>
          <w:ilvl w:val="0"/>
          <w:numId w:val="6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SONAMINE est soumise aux procédures de passation de marchés applicables aux entreprises publiques, bien qu’elle ne relève pas du Code des marchés publics. Les procédures d’achat et de commercialisation sont disponibles en ligne, et un processus de diligence raisonnable est appliqué pour la vérification de l’identité des fournisseurs.</w:t>
      </w:r>
    </w:p>
    <w:p w14:paraId="429A40B6" w14:textId="77777777" w:rsidR="00A32496" w:rsidRPr="00240C99" w:rsidRDefault="00A32496" w:rsidP="001059BE">
      <w:pPr>
        <w:numPr>
          <w:ilvl w:val="0"/>
          <w:numId w:val="6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Ces dispositifs contribuent à la traçabilité des opérations, mais nécessitent un suivi structuré pour garantir l’exhaustivité des données divulguées.</w:t>
      </w:r>
    </w:p>
    <w:p w14:paraId="32B15FA8" w14:textId="77777777" w:rsidR="00A32496" w:rsidRPr="00240C99" w:rsidRDefault="00A32496" w:rsidP="001059BE">
      <w:pPr>
        <w:numPr>
          <w:ilvl w:val="0"/>
          <w:numId w:val="6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Compléter les informations disponibles en ligne par la publication périodique des résultats des appels d’offres, des montants engagés et des fournisseurs retenus, afin d’améliorer la qualité des données disponibles dans les systèmes de divulgation.</w:t>
      </w:r>
    </w:p>
    <w:p w14:paraId="59AF8C31" w14:textId="77777777" w:rsidR="00A32496" w:rsidRPr="00240C99" w:rsidRDefault="00A3249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Intégrité et lutte contre la corruption</w:t>
      </w:r>
    </w:p>
    <w:p w14:paraId="3EA21DAD" w14:textId="77777777" w:rsidR="00A32496" w:rsidRPr="00240C99" w:rsidRDefault="00A32496" w:rsidP="001059BE">
      <w:pPr>
        <w:numPr>
          <w:ilvl w:val="0"/>
          <w:numId w:val="6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Gouvernance</w:t>
      </w:r>
    </w:p>
    <w:p w14:paraId="6C594292" w14:textId="77777777" w:rsidR="00A32496" w:rsidRPr="00240C99" w:rsidRDefault="00A32496" w:rsidP="001059BE">
      <w:pPr>
        <w:numPr>
          <w:ilvl w:val="0"/>
          <w:numId w:val="6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Conformément à la stratégie nationale de lutte contre la corruption, la SONAMINE met en place une cellule dédiée à l’intégrité. Une politique anticorruption est en cours de validation, avec un engagement de publication dans un délai maximal de trois mois.</w:t>
      </w:r>
    </w:p>
    <w:p w14:paraId="375BDB3E" w14:textId="77777777" w:rsidR="00A32496" w:rsidRPr="00240C99" w:rsidRDefault="00A32496" w:rsidP="001059BE">
      <w:pPr>
        <w:numPr>
          <w:ilvl w:val="0"/>
          <w:numId w:val="6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L'opérationnalisation de cette politique contribuera à renforcer la gouvernance des données et leur fiabilité.</w:t>
      </w:r>
    </w:p>
    <w:p w14:paraId="59F6AB45" w14:textId="77777777" w:rsidR="00A32496" w:rsidRPr="00240C99" w:rsidRDefault="00A32496" w:rsidP="001059BE">
      <w:pPr>
        <w:numPr>
          <w:ilvl w:val="0"/>
          <w:numId w:val="6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Intégrer la politique anticorruption dans le système global de gestion des données afin de garantir l'intégrité de l'information diffusée à travers les mécanismes de divulgation systématique.</w:t>
      </w:r>
    </w:p>
    <w:p w14:paraId="6715566C" w14:textId="77777777" w:rsidR="00A32496" w:rsidRPr="00240C99" w:rsidRDefault="00A3249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Rôle fiscal et parafiscal</w:t>
      </w:r>
    </w:p>
    <w:p w14:paraId="38A15DB4" w14:textId="77777777" w:rsidR="00A32496" w:rsidRPr="00240C99" w:rsidRDefault="00A32496" w:rsidP="001059BE">
      <w:pPr>
        <w:numPr>
          <w:ilvl w:val="0"/>
          <w:numId w:val="6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Fiscalité et institutionnel</w:t>
      </w:r>
    </w:p>
    <w:p w14:paraId="21948E85" w14:textId="77777777" w:rsidR="00A32496" w:rsidRPr="00240C99" w:rsidRDefault="00A32496" w:rsidP="001059BE">
      <w:pPr>
        <w:numPr>
          <w:ilvl w:val="0"/>
          <w:numId w:val="6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SONAMINE est mandatée pour la gestion de l’impôt synthétique dans certaines zones minières, ainsi que pour représenter l’État dans les projets miniers à travers ses participations. Ces mandats sont établis par décisions du MINFI, en attendant l’adoption des textes d’application.</w:t>
      </w:r>
    </w:p>
    <w:p w14:paraId="5B2C4CC5" w14:textId="77777777" w:rsidR="00A32496" w:rsidRPr="00240C99" w:rsidRDefault="00A32496" w:rsidP="001059BE">
      <w:pPr>
        <w:numPr>
          <w:ilvl w:val="0"/>
          <w:numId w:val="6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 cumul de rôles opérationnels et fiscaux appelle à des mécanismes de contrôle renforcés pour assurer la traçabilité et l’exhaustivité des données produites.</w:t>
      </w:r>
    </w:p>
    <w:p w14:paraId="4D8A1435" w14:textId="77777777" w:rsidR="00A32496" w:rsidRPr="00240C99" w:rsidRDefault="00A32496" w:rsidP="001059BE">
      <w:pPr>
        <w:numPr>
          <w:ilvl w:val="0"/>
          <w:numId w:val="6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Actions suggérées</w:t>
      </w:r>
      <w:r w:rsidRPr="00240C99">
        <w:rPr>
          <w:rFonts w:ascii="Kohinoor Devanagari" w:hAnsi="Kohinoor Devanagari" w:cs="Kohinoor Devanagari"/>
          <w:sz w:val="20"/>
          <w:szCs w:val="20"/>
        </w:rPr>
        <w:t xml:space="preserve"> : Publier les décisions du MINFI encadrant ces fonctions et intégrer les données fiscales collectées dans les rapports sectoriels, en assurant leur interopérabilité avec les systèmes de gestion fiscale nationaux.</w:t>
      </w:r>
    </w:p>
    <w:p w14:paraId="45360BA5" w14:textId="77777777" w:rsidR="00A32496" w:rsidRPr="00240C99" w:rsidRDefault="00A3249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(v) Gestion des parts de production minière</w:t>
      </w:r>
    </w:p>
    <w:p w14:paraId="4569A357" w14:textId="77777777" w:rsidR="00A32496" w:rsidRPr="00240C99" w:rsidRDefault="00A32496" w:rsidP="001059BE">
      <w:pPr>
        <w:numPr>
          <w:ilvl w:val="0"/>
          <w:numId w:val="6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Opérationnel</w:t>
      </w:r>
    </w:p>
    <w:p w14:paraId="00AC17C0" w14:textId="77777777" w:rsidR="00A32496" w:rsidRPr="00240C99" w:rsidRDefault="00A32496" w:rsidP="001059BE">
      <w:pPr>
        <w:numPr>
          <w:ilvl w:val="0"/>
          <w:numId w:val="6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SONAMINE est appelée à gérer les parts de production revenant à l’État dans les futurs contrats miniers. Toutefois, le cadre définissant sa rémunération pour cette mission reste à établir.</w:t>
      </w:r>
    </w:p>
    <w:p w14:paraId="6517DDBD" w14:textId="77777777" w:rsidR="00A32496" w:rsidRPr="00240C99" w:rsidRDefault="00A32496" w:rsidP="001059BE">
      <w:pPr>
        <w:numPr>
          <w:ilvl w:val="0"/>
          <w:numId w:val="6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dispositions encadrant la gestion des parts de production limite la transparence sur les flux en nature et leur valorisation.</w:t>
      </w:r>
    </w:p>
    <w:p w14:paraId="5FA29651" w14:textId="77777777" w:rsidR="00A32496" w:rsidRPr="00240C99" w:rsidRDefault="00A32496" w:rsidP="001059BE">
      <w:pPr>
        <w:numPr>
          <w:ilvl w:val="0"/>
          <w:numId w:val="6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Formaliser rapidement les modalités juridiques et opérationnelles de gestion des parts de production, en assurant leur traçabilité, leur comptabilisation régulière et leur divulgation dans les systèmes nationaux, en lien avec la Norme ITIE.</w:t>
      </w:r>
    </w:p>
    <w:p w14:paraId="3E892AF8" w14:textId="364012DA" w:rsidR="00C6426B" w:rsidRPr="00240C99" w:rsidRDefault="00A8713A"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Société Nationale des Hydrocarbures (SNH)</w:t>
      </w:r>
    </w:p>
    <w:p w14:paraId="153354B3" w14:textId="3EB45755" w:rsidR="00130F0F" w:rsidRPr="00240C99" w:rsidRDefault="00130F0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États financiers</w:t>
      </w:r>
    </w:p>
    <w:p w14:paraId="6D451BBC" w14:textId="77777777" w:rsidR="00130F0F" w:rsidRPr="00240C99" w:rsidRDefault="00130F0F" w:rsidP="001059BE">
      <w:pPr>
        <w:numPr>
          <w:ilvl w:val="0"/>
          <w:numId w:val="6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 et juridique</w:t>
      </w:r>
    </w:p>
    <w:p w14:paraId="0F45EACB" w14:textId="77777777" w:rsidR="00130F0F" w:rsidRPr="00240C99" w:rsidRDefault="00130F0F" w:rsidP="001059BE">
      <w:pPr>
        <w:numPr>
          <w:ilvl w:val="0"/>
          <w:numId w:val="6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SNH a levé l’ensemble des contraintes liées à la publication de ses états financiers complets. Cette évolution marque un tournant positif vers une meilleure transparence.</w:t>
      </w:r>
    </w:p>
    <w:p w14:paraId="084D2C04" w14:textId="77777777" w:rsidR="00130F0F" w:rsidRPr="00240C99" w:rsidRDefault="00130F0F" w:rsidP="001059BE">
      <w:pPr>
        <w:numPr>
          <w:ilvl w:val="0"/>
          <w:numId w:val="6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L’accessibilité des états financiers améliore la traçabilité des revenus issus des activités pétrolières.</w:t>
      </w:r>
    </w:p>
    <w:p w14:paraId="139E46C2" w14:textId="77777777" w:rsidR="00130F0F" w:rsidRPr="00240C99" w:rsidRDefault="00130F0F" w:rsidP="001059BE">
      <w:pPr>
        <w:numPr>
          <w:ilvl w:val="0"/>
          <w:numId w:val="6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Mettre en ligne les états financiers annuels complets sur le site officiel de la SNH, en veillant à leur accessibilité dans un format exploitable.</w:t>
      </w:r>
    </w:p>
    <w:p w14:paraId="3A0D47E2" w14:textId="77777777" w:rsidR="00130F0F" w:rsidRPr="00240C99" w:rsidRDefault="00130F0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Cadastre pétrolier</w:t>
      </w:r>
    </w:p>
    <w:p w14:paraId="2A8B86EA" w14:textId="77777777" w:rsidR="00130F0F" w:rsidRPr="00240C99" w:rsidRDefault="00130F0F" w:rsidP="001059BE">
      <w:pPr>
        <w:numPr>
          <w:ilvl w:val="0"/>
          <w:numId w:val="6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w:t>
      </w:r>
    </w:p>
    <w:p w14:paraId="45C3825E" w14:textId="77777777" w:rsidR="00130F0F" w:rsidRPr="00240C99" w:rsidRDefault="00130F0F" w:rsidP="001059BE">
      <w:pPr>
        <w:numPr>
          <w:ilvl w:val="0"/>
          <w:numId w:val="6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cadastre pétrolier publié par la SNH se présente sous forme d’une carte statique, non interactive, avec des informations limitées et non téléchargeables.</w:t>
      </w:r>
    </w:p>
    <w:p w14:paraId="786D354C" w14:textId="77777777" w:rsidR="00130F0F" w:rsidRPr="00240C99" w:rsidRDefault="00130F0F" w:rsidP="001059BE">
      <w:pPr>
        <w:numPr>
          <w:ilvl w:val="0"/>
          <w:numId w:val="6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 format limite la réutilisation des données par les parties prenantes.</w:t>
      </w:r>
    </w:p>
    <w:p w14:paraId="10A2AD0F" w14:textId="77777777" w:rsidR="00130F0F" w:rsidRPr="00240C99" w:rsidRDefault="00130F0F" w:rsidP="001059BE">
      <w:pPr>
        <w:numPr>
          <w:ilvl w:val="0"/>
          <w:numId w:val="6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Développer une version dynamique et en format ouvert du cadastre pétrolier, incluant les coordonnées géographiques, les titulaires, les dates clés, les statuts et les références contractuelles.</w:t>
      </w:r>
    </w:p>
    <w:p w14:paraId="00D89DEC"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4BD5C315" w14:textId="15232895" w:rsidR="00130F0F" w:rsidRPr="00240C99" w:rsidRDefault="00130F0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(iii) Contrats pétroliers</w:t>
      </w:r>
    </w:p>
    <w:p w14:paraId="62A9E407" w14:textId="77777777" w:rsidR="00130F0F" w:rsidRPr="00240C99" w:rsidRDefault="00130F0F" w:rsidP="001059BE">
      <w:pPr>
        <w:numPr>
          <w:ilvl w:val="0"/>
          <w:numId w:val="6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w:t>
      </w:r>
    </w:p>
    <w:p w14:paraId="2A9DD3DC" w14:textId="77777777" w:rsidR="00130F0F" w:rsidRPr="00240C99" w:rsidRDefault="00130F0F" w:rsidP="001059BE">
      <w:pPr>
        <w:numPr>
          <w:ilvl w:val="0"/>
          <w:numId w:val="6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SNH évoque des contraintes de confidentialité pour la divulgation des contrats. Une démarche d’identification des clauses sensibles est en cours.</w:t>
      </w:r>
    </w:p>
    <w:p w14:paraId="03D5674E" w14:textId="77777777" w:rsidR="00130F0F" w:rsidRPr="00240C99" w:rsidRDefault="00130F0F" w:rsidP="001059BE">
      <w:pPr>
        <w:numPr>
          <w:ilvl w:val="0"/>
          <w:numId w:val="6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publication intégrale des contrats entrave la conformité avec l’exigence 2.4 de la Norme ITIE.</w:t>
      </w:r>
    </w:p>
    <w:p w14:paraId="2CE8E0A5" w14:textId="77777777" w:rsidR="00130F0F" w:rsidRPr="00240C99" w:rsidRDefault="00130F0F" w:rsidP="001059BE">
      <w:pPr>
        <w:numPr>
          <w:ilvl w:val="0"/>
          <w:numId w:val="6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Finaliser l’analyse des clauses et publier les contrats ou extraits non sensibles avec un canevas structurant le format et les données minimales à divulguer.</w:t>
      </w:r>
    </w:p>
    <w:p w14:paraId="7CFEF474" w14:textId="77777777" w:rsidR="00130F0F" w:rsidRPr="00240C99" w:rsidRDefault="00130F0F"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Format et périodicité des données</w:t>
      </w:r>
    </w:p>
    <w:p w14:paraId="5BF4F02A" w14:textId="77777777" w:rsidR="00130F0F" w:rsidRPr="00240C99" w:rsidRDefault="00130F0F" w:rsidP="001059BE">
      <w:pPr>
        <w:numPr>
          <w:ilvl w:val="0"/>
          <w:numId w:val="6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procédural</w:t>
      </w:r>
    </w:p>
    <w:p w14:paraId="5EAE55FF" w14:textId="77777777" w:rsidR="00130F0F" w:rsidRPr="00240C99" w:rsidRDefault="00130F0F" w:rsidP="001059BE">
      <w:pPr>
        <w:numPr>
          <w:ilvl w:val="0"/>
          <w:numId w:val="6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SNH exprime le besoin de disposer d’un canevas formalisé définissant les types de données à divulguer, leur format et la périodicité.</w:t>
      </w:r>
    </w:p>
    <w:p w14:paraId="6125F033" w14:textId="77777777" w:rsidR="00130F0F" w:rsidRPr="00240C99" w:rsidRDefault="00130F0F" w:rsidP="001059BE">
      <w:pPr>
        <w:numPr>
          <w:ilvl w:val="0"/>
          <w:numId w:val="6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normalisation entrave la systématisation de la divulgation.</w:t>
      </w:r>
    </w:p>
    <w:p w14:paraId="077CC932" w14:textId="77777777" w:rsidR="00130F0F" w:rsidRPr="00240C99" w:rsidRDefault="00130F0F" w:rsidP="001059BE">
      <w:pPr>
        <w:numPr>
          <w:ilvl w:val="0"/>
          <w:numId w:val="6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Élaborer un canevas de divulgation systématique en concertation avec le Comité ITIE, incluant un calendrier et des variables standardisées par type d’activité (production, ventes, dépenses, transferts, etc.).</w:t>
      </w:r>
    </w:p>
    <w:p w14:paraId="45D19EA0" w14:textId="124D6063" w:rsidR="00C6426B" w:rsidRPr="00240C99" w:rsidRDefault="00C6426B"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S</w:t>
      </w:r>
      <w:r w:rsidR="00130F0F" w:rsidRPr="00240C99">
        <w:rPr>
          <w:rFonts w:ascii="Kohinoor Devanagari" w:eastAsia="Times New Roman" w:hAnsi="Kohinoor Devanagari" w:cs="Kohinoor Devanagari"/>
          <w:b/>
          <w:bCs/>
          <w:color w:val="auto"/>
          <w:sz w:val="20"/>
          <w:szCs w:val="20"/>
        </w:rPr>
        <w:t>ociété Nationale d’Investissements (SNI)</w:t>
      </w:r>
    </w:p>
    <w:p w14:paraId="6E8D95C2" w14:textId="3ADABFFF" w:rsidR="0080749B" w:rsidRPr="00240C99" w:rsidRDefault="0080749B"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Données sur les participations extractives</w:t>
      </w:r>
    </w:p>
    <w:p w14:paraId="48B73567" w14:textId="77777777" w:rsidR="0080749B" w:rsidRPr="00240C99" w:rsidRDefault="0080749B" w:rsidP="001059BE">
      <w:pPr>
        <w:numPr>
          <w:ilvl w:val="0"/>
          <w:numId w:val="6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w:t>
      </w:r>
    </w:p>
    <w:p w14:paraId="3788890F" w14:textId="77777777" w:rsidR="0080749B" w:rsidRPr="00240C99" w:rsidRDefault="0080749B" w:rsidP="001059BE">
      <w:pPr>
        <w:numPr>
          <w:ilvl w:val="0"/>
          <w:numId w:val="6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SNI collecte et met à jour des informations détaillées sur ses participations dans les entreprises extractives à travers des fiches techniques annuelles et des rapports d’activités trimestriels. Ces documents contiennent des données telles que les taux de participation, les montants de dividendes reçus, et des indicateurs financiers consolidés. Toutefois, ces informations ne sont pas rendues publiques en raison d’une contrainte interne liée à l’approbation préalable du management.</w:t>
      </w:r>
    </w:p>
    <w:p w14:paraId="0BFED9B9" w14:textId="77777777" w:rsidR="0080749B" w:rsidRPr="00240C99" w:rsidRDefault="0080749B" w:rsidP="001059BE">
      <w:pPr>
        <w:numPr>
          <w:ilvl w:val="0"/>
          <w:numId w:val="6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Bien que disponibles en interne, l’inaccessibilité publique de ces données empêche une pleine transparence sur les participations extractives de l’État via la SNI.</w:t>
      </w:r>
    </w:p>
    <w:p w14:paraId="4AF33671" w14:textId="77777777" w:rsidR="0080749B" w:rsidRPr="00240C99" w:rsidRDefault="0080749B" w:rsidP="001059BE">
      <w:pPr>
        <w:numPr>
          <w:ilvl w:val="0"/>
          <w:numId w:val="6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 Élaborer un canevas de divulgation adapté à la Norme ITIE précisant les variables à publier, la périodicité (idéalement trimestrielle) et les formats standards. Formaliser ce canevas à travers une instruction interne ou un accord de gestion validé par la direction générale.</w:t>
      </w:r>
    </w:p>
    <w:p w14:paraId="5410BDB1" w14:textId="77777777" w:rsidR="00C774F0" w:rsidRDefault="00C774F0">
      <w:pPr>
        <w:rPr>
          <w:rFonts w:ascii="Kohinoor Devanagari" w:hAnsi="Kohinoor Devanagari" w:cs="Kohinoor Devanagari"/>
          <w:b/>
          <w:bCs/>
          <w:sz w:val="20"/>
          <w:szCs w:val="20"/>
        </w:rPr>
      </w:pPr>
      <w:r>
        <w:rPr>
          <w:rFonts w:ascii="Kohinoor Devanagari" w:hAnsi="Kohinoor Devanagari" w:cs="Kohinoor Devanagari"/>
          <w:b/>
          <w:bCs/>
          <w:sz w:val="20"/>
          <w:szCs w:val="20"/>
        </w:rPr>
        <w:br w:type="page"/>
      </w:r>
    </w:p>
    <w:p w14:paraId="6F7C7BA4" w14:textId="112F0648" w:rsidR="0080749B" w:rsidRPr="00240C99" w:rsidRDefault="0080749B"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lastRenderedPageBreak/>
        <w:t>(ii) Rapport annuel de la SNI</w:t>
      </w:r>
    </w:p>
    <w:p w14:paraId="15A046AE" w14:textId="77777777" w:rsidR="0080749B" w:rsidRPr="00240C99" w:rsidRDefault="0080749B" w:rsidP="001059BE">
      <w:pPr>
        <w:numPr>
          <w:ilvl w:val="0"/>
          <w:numId w:val="7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Communication institutionnelle</w:t>
      </w:r>
    </w:p>
    <w:p w14:paraId="40C43DAE" w14:textId="77777777" w:rsidR="0080749B" w:rsidRPr="00240C99" w:rsidRDefault="0080749B" w:rsidP="001059BE">
      <w:pPr>
        <w:numPr>
          <w:ilvl w:val="0"/>
          <w:numId w:val="7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rapport annuel de la SNI est disponible au public et présente des informations agrégées sur les performances financières de l’institution, incluant les taux de participation et les dividendes perçus. Cependant, les données sont souvent présentées de manière narrative, sans désagrégation sectorielle ni format structuré.</w:t>
      </w:r>
    </w:p>
    <w:p w14:paraId="437F0617" w14:textId="77777777" w:rsidR="0080749B" w:rsidRPr="00240C99" w:rsidRDefault="0080749B" w:rsidP="001059BE">
      <w:pPr>
        <w:numPr>
          <w:ilvl w:val="0"/>
          <w:numId w:val="7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Le manque de désagrégation et de structuration limite la réutilisation des données dans le cadre ITIE.</w:t>
      </w:r>
    </w:p>
    <w:p w14:paraId="4C540FD2" w14:textId="7B197DF0" w:rsidR="00C6426B" w:rsidRPr="00240C99" w:rsidRDefault="0080749B" w:rsidP="001059BE">
      <w:pPr>
        <w:numPr>
          <w:ilvl w:val="0"/>
          <w:numId w:val="7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 xml:space="preserve">Actions suggérées : </w:t>
      </w:r>
      <w:r w:rsidRPr="00240C99">
        <w:rPr>
          <w:rFonts w:ascii="Kohinoor Devanagari" w:hAnsi="Kohinoor Devanagari" w:cs="Kohinoor Devanagari"/>
          <w:sz w:val="20"/>
          <w:szCs w:val="20"/>
        </w:rPr>
        <w:t>Compléter le rapport annuel par une annexe technique structurée (en format Excel/CSV), contenant les données par projet, entreprise et flux financier, conformément à l’exigence 2.6 de la Norme ITIE.</w:t>
      </w:r>
    </w:p>
    <w:p w14:paraId="082FE971" w14:textId="2D3010DD" w:rsidR="00874464" w:rsidRPr="00240C99" w:rsidRDefault="007B435E"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Institut National de la Statistique (INS)</w:t>
      </w:r>
    </w:p>
    <w:p w14:paraId="682D7F38" w14:textId="10138D71" w:rsidR="00B313C6" w:rsidRPr="00240C99" w:rsidRDefault="00B313C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Données macroéconomiques sur le secteur extractif</w:t>
      </w:r>
    </w:p>
    <w:p w14:paraId="34766BE6" w14:textId="77777777" w:rsidR="00B313C6" w:rsidRPr="00240C99" w:rsidRDefault="00B313C6" w:rsidP="001059BE">
      <w:pPr>
        <w:numPr>
          <w:ilvl w:val="0"/>
          <w:numId w:val="7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Statistique et analytique</w:t>
      </w:r>
    </w:p>
    <w:p w14:paraId="3E162741" w14:textId="77777777" w:rsidR="00B313C6" w:rsidRPr="00240C99" w:rsidRDefault="00B313C6" w:rsidP="001059BE">
      <w:pPr>
        <w:numPr>
          <w:ilvl w:val="0"/>
          <w:numId w:val="7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L’INS produit chaque année, en septembre, des statistiques sectorielles incluant la contribution du secteur extractif (formel et informel) au PIB, ainsi que des données sur l’emploi par société et par catégorie socio-professionnelle, en collaboration avec la DSF et la CNPS. Une nomenclature sectorielle existe pour distinguer les sous-secteurs minier, pétrolier, etc.</w:t>
      </w:r>
    </w:p>
    <w:p w14:paraId="72ECB423" w14:textId="77777777" w:rsidR="00B313C6" w:rsidRPr="00240C99" w:rsidRDefault="00B313C6" w:rsidP="001059BE">
      <w:pPr>
        <w:numPr>
          <w:ilvl w:val="0"/>
          <w:numId w:val="7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Ces données sont essentielles pour évaluer l’impact économique et social du secteur extractif. Toutefois, la qualité des données issues des DSF reste inégale, notamment pour les investissements et l’emploi.</w:t>
      </w:r>
    </w:p>
    <w:p w14:paraId="7DC7A683" w14:textId="77777777" w:rsidR="00B313C6" w:rsidRPr="00240C99" w:rsidRDefault="00B313C6" w:rsidP="001059BE">
      <w:pPr>
        <w:numPr>
          <w:ilvl w:val="0"/>
          <w:numId w:val="7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6F4BDCE8" w14:textId="77777777" w:rsidR="00B313C6" w:rsidRPr="00240C99" w:rsidRDefault="00B313C6" w:rsidP="001059BE">
      <w:pPr>
        <w:numPr>
          <w:ilvl w:val="1"/>
          <w:numId w:val="7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Mettre en place un cadre de collaboration formel INS–DGI–CNPS pour fiabiliser les données d’emploi, d’investissement et de production déclarées dans les DSF.</w:t>
      </w:r>
    </w:p>
    <w:p w14:paraId="4C66B115" w14:textId="77777777" w:rsidR="00B313C6" w:rsidRPr="00240C99" w:rsidRDefault="00B313C6" w:rsidP="001059BE">
      <w:pPr>
        <w:numPr>
          <w:ilvl w:val="1"/>
          <w:numId w:val="7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Intégrer un module "extraction" dans les publications statistiques nationales, avec indicateurs sectoriels ITIE standardisés (PIB extractif, emploi, production, exportations).</w:t>
      </w:r>
    </w:p>
    <w:p w14:paraId="1AA455C3" w14:textId="77777777" w:rsidR="00B313C6" w:rsidRPr="00240C99" w:rsidRDefault="00B313C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Plateforme Open Data et projet NSDD du FMI</w:t>
      </w:r>
    </w:p>
    <w:p w14:paraId="2D7AD93B" w14:textId="77777777" w:rsidR="00B313C6" w:rsidRPr="00240C99" w:rsidRDefault="00B313C6" w:rsidP="001059BE">
      <w:pPr>
        <w:numPr>
          <w:ilvl w:val="0"/>
          <w:numId w:val="7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Technique et stratégique</w:t>
      </w:r>
    </w:p>
    <w:p w14:paraId="5CEC7989" w14:textId="77777777" w:rsidR="00B313C6" w:rsidRPr="00240C99" w:rsidRDefault="00B313C6" w:rsidP="001059BE">
      <w:pPr>
        <w:numPr>
          <w:ilvl w:val="0"/>
          <w:numId w:val="7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L’INS dispose d’une plateforme Open Data avec un onglet ITIE actif, et poursuit sa mise en conformité à la Norme Spéciale de Diffusion de Données (NSDD) du FMI.</w:t>
      </w:r>
    </w:p>
    <w:p w14:paraId="76FF5315" w14:textId="77777777" w:rsidR="00B313C6" w:rsidRPr="00240C99" w:rsidRDefault="00B313C6" w:rsidP="001059BE">
      <w:pPr>
        <w:numPr>
          <w:ilvl w:val="0"/>
          <w:numId w:val="7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lastRenderedPageBreak/>
        <w:t>Impact</w:t>
      </w:r>
      <w:r w:rsidRPr="00240C99">
        <w:rPr>
          <w:rFonts w:ascii="Kohinoor Devanagari" w:hAnsi="Kohinoor Devanagari" w:cs="Kohinoor Devanagari"/>
          <w:sz w:val="20"/>
          <w:szCs w:val="20"/>
        </w:rPr>
        <w:t xml:space="preserve"> : Ces initiatives peuvent constituer des piliers pour la divulgation systématique de données agrégées fiables.</w:t>
      </w:r>
    </w:p>
    <w:p w14:paraId="3C23566C" w14:textId="77777777" w:rsidR="00B313C6" w:rsidRPr="00240C99" w:rsidRDefault="00B313C6" w:rsidP="001059BE">
      <w:pPr>
        <w:numPr>
          <w:ilvl w:val="0"/>
          <w:numId w:val="7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w:t>
      </w:r>
    </w:p>
    <w:p w14:paraId="32B74893" w14:textId="77777777" w:rsidR="00B313C6" w:rsidRPr="00240C99" w:rsidRDefault="00B313C6" w:rsidP="001059BE">
      <w:pPr>
        <w:numPr>
          <w:ilvl w:val="1"/>
          <w:numId w:val="7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Élargir l’onglet ITIE pour intégrer des jeux de données standardisés sur la production, l’emploi, la fiscalité, les prix et volumes exportés, par secteur extractif.</w:t>
      </w:r>
    </w:p>
    <w:p w14:paraId="3C67F2FD" w14:textId="77777777" w:rsidR="00B313C6" w:rsidRPr="00240C99" w:rsidRDefault="00B313C6" w:rsidP="001059BE">
      <w:pPr>
        <w:numPr>
          <w:ilvl w:val="1"/>
          <w:numId w:val="7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Intégrer les exigences ITIE dans les priorités du projet NSDD, notamment en matière de couverture sectorielle.</w:t>
      </w:r>
    </w:p>
    <w:p w14:paraId="7AE1A79A" w14:textId="77777777" w:rsidR="00B313C6" w:rsidRPr="00240C99" w:rsidRDefault="00B313C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Contraintes juridiques sur la désagrégation</w:t>
      </w:r>
    </w:p>
    <w:p w14:paraId="3DE7BB07" w14:textId="77777777" w:rsidR="00B313C6" w:rsidRPr="00240C99" w:rsidRDefault="00B313C6" w:rsidP="001059BE">
      <w:pPr>
        <w:numPr>
          <w:ilvl w:val="0"/>
          <w:numId w:val="7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Juridique et institutionnel</w:t>
      </w:r>
    </w:p>
    <w:p w14:paraId="7DFECD96" w14:textId="77777777" w:rsidR="00B313C6" w:rsidRPr="00240C99" w:rsidRDefault="00B313C6" w:rsidP="001059BE">
      <w:pPr>
        <w:numPr>
          <w:ilvl w:val="0"/>
          <w:numId w:val="7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La loi camerounaise sur la statistique interdit la divulgation des données désagrégées par société, limitant les possibilités de publication d’informations essentielles à l’ITIE.</w:t>
      </w:r>
    </w:p>
    <w:p w14:paraId="3321EFB9" w14:textId="77777777" w:rsidR="00B313C6" w:rsidRPr="00240C99" w:rsidRDefault="00B313C6" w:rsidP="001059BE">
      <w:pPr>
        <w:numPr>
          <w:ilvl w:val="0"/>
          <w:numId w:val="7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Cette contrainte freine la mise en œuvre complète de la Norme ITIE (désagrégation par entreprise, par projet, par flux).</w:t>
      </w:r>
    </w:p>
    <w:p w14:paraId="37F66C57" w14:textId="77777777" w:rsidR="00B313C6" w:rsidRPr="00240C99" w:rsidRDefault="00B313C6" w:rsidP="001059BE">
      <w:pPr>
        <w:numPr>
          <w:ilvl w:val="0"/>
          <w:numId w:val="7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w:t>
      </w:r>
    </w:p>
    <w:p w14:paraId="03A7212C" w14:textId="77777777" w:rsidR="00B313C6" w:rsidRPr="00240C99" w:rsidRDefault="00B313C6" w:rsidP="001059BE">
      <w:pPr>
        <w:numPr>
          <w:ilvl w:val="1"/>
          <w:numId w:val="7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Initier un dialogue interinstitutionnel (INS–MINFI–STP-ITIE) pour encadrer légalement une divulgation graduée, anonymisée ou autorisée via accords.</w:t>
      </w:r>
    </w:p>
    <w:p w14:paraId="3DB0471D" w14:textId="77777777" w:rsidR="00B313C6" w:rsidRPr="00240C99" w:rsidRDefault="00B313C6" w:rsidP="001059BE">
      <w:pPr>
        <w:numPr>
          <w:ilvl w:val="1"/>
          <w:numId w:val="7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Élaborer une note juridique sur les marges de flexibilité de la loi actuelle pour la publication de données agrégées par entreprise ou par projet.</w:t>
      </w:r>
    </w:p>
    <w:p w14:paraId="2EA4EADE" w14:textId="77777777" w:rsidR="00B313C6" w:rsidRPr="00240C99" w:rsidRDefault="00B313C6" w:rsidP="001059BE">
      <w:pPr>
        <w:numPr>
          <w:ilvl w:val="1"/>
          <w:numId w:val="7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Proposer un amendement ciblé ou une directive ministérielle facilitant les divulgations sectorielles spécifiques à l’ITIE.</w:t>
      </w:r>
    </w:p>
    <w:p w14:paraId="07D31D7E" w14:textId="77777777" w:rsidR="00B313C6" w:rsidRPr="00240C99" w:rsidRDefault="00B313C6"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Données environnementales et émissions de GES</w:t>
      </w:r>
    </w:p>
    <w:p w14:paraId="491F3241" w14:textId="77777777" w:rsidR="00B313C6" w:rsidRPr="00240C99" w:rsidRDefault="00B313C6" w:rsidP="001059BE">
      <w:pPr>
        <w:numPr>
          <w:ilvl w:val="0"/>
          <w:numId w:val="7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Environnemental et capacitaire</w:t>
      </w:r>
    </w:p>
    <w:p w14:paraId="4CD7CC64" w14:textId="77777777" w:rsidR="00B313C6" w:rsidRPr="00240C99" w:rsidRDefault="00B313C6" w:rsidP="001059BE">
      <w:pPr>
        <w:numPr>
          <w:ilvl w:val="0"/>
          <w:numId w:val="7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L’INS possède une méthodologie de suivi des émissions de GES et prévoit une base de données environnementales à l’horizon 2028–2029. Toutefois, les capacités humaines et techniques sont encore limitées.</w:t>
      </w:r>
    </w:p>
    <w:p w14:paraId="0DC8FDEF" w14:textId="77777777" w:rsidR="00B313C6" w:rsidRPr="00240C99" w:rsidRDefault="00B313C6" w:rsidP="001059BE">
      <w:pPr>
        <w:numPr>
          <w:ilvl w:val="0"/>
          <w:numId w:val="7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Ce chantier est stratégique pour la réponse à l’Exigence 6.4 de l’ITIE (impact environnemental).</w:t>
      </w:r>
    </w:p>
    <w:p w14:paraId="72C278FC" w14:textId="2798702A" w:rsidR="00B313C6" w:rsidRPr="00240C99" w:rsidRDefault="00B313C6" w:rsidP="001059BE">
      <w:pPr>
        <w:numPr>
          <w:ilvl w:val="0"/>
          <w:numId w:val="7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29A86079" w14:textId="77777777" w:rsidR="00B313C6" w:rsidRPr="00240C99" w:rsidRDefault="00B313C6" w:rsidP="001059BE">
      <w:pPr>
        <w:numPr>
          <w:ilvl w:val="1"/>
          <w:numId w:val="7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Identifier dès 2025 les données environnementales disponibles et pertinentes à divulguer (émissions, rejets, impacts), en lien avec les ministères concernés.</w:t>
      </w:r>
    </w:p>
    <w:p w14:paraId="3B89BE6D" w14:textId="77777777" w:rsidR="00B313C6" w:rsidRPr="00240C99" w:rsidRDefault="00B313C6" w:rsidP="001059BE">
      <w:pPr>
        <w:numPr>
          <w:ilvl w:val="1"/>
          <w:numId w:val="7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Mettre en place un partenariat technique pour former les agents de l’INS à la collecte et à la publication de données environnementales dans un format compatible ITIE.</w:t>
      </w:r>
    </w:p>
    <w:p w14:paraId="2E5B257A" w14:textId="77777777" w:rsidR="00B313C6" w:rsidRPr="00240C99" w:rsidRDefault="00B313C6" w:rsidP="001059BE">
      <w:pPr>
        <w:numPr>
          <w:ilvl w:val="1"/>
          <w:numId w:val="7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lastRenderedPageBreak/>
        <w:t>Intégrer la composante environnementale dans l’onglet ITIE de la plateforme Open Data, avec un calendrier progressif de publication.</w:t>
      </w:r>
    </w:p>
    <w:p w14:paraId="102AA8DD" w14:textId="225E0250" w:rsidR="00D83614" w:rsidRPr="00240C99" w:rsidRDefault="00181495"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Ministère de l’Environnement, de la Protection de la Nature et du Développement Durable (MINEPDEP)</w:t>
      </w:r>
    </w:p>
    <w:p w14:paraId="65385F7C" w14:textId="52AAF8C2" w:rsidR="00C1700A" w:rsidRPr="00240C99" w:rsidRDefault="00C1700A"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Études d’impact environnemental et permis environnementaux</w:t>
      </w:r>
    </w:p>
    <w:p w14:paraId="3EB40F09" w14:textId="77777777" w:rsidR="00C1700A" w:rsidRPr="00240C99" w:rsidRDefault="00C1700A" w:rsidP="001059BE">
      <w:pPr>
        <w:numPr>
          <w:ilvl w:val="0"/>
          <w:numId w:val="7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environnementale réglementaire</w:t>
      </w:r>
    </w:p>
    <w:p w14:paraId="1CB190D5" w14:textId="77777777" w:rsidR="00C1700A" w:rsidRPr="00240C99" w:rsidRDefault="00C1700A" w:rsidP="001059BE">
      <w:pPr>
        <w:numPr>
          <w:ilvl w:val="0"/>
          <w:numId w:val="7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MINEPDEP centralise les EIES et les permis environnementaux liés aux projets extractifs. Ces documents sont considérés comme publics, mais </w:t>
      </w:r>
      <w:r w:rsidRPr="00240C99">
        <w:rPr>
          <w:rFonts w:ascii="Kohinoor Devanagari" w:hAnsi="Kohinoor Devanagari" w:cs="Kohinoor Devanagari"/>
          <w:b/>
          <w:bCs/>
          <w:sz w:val="20"/>
          <w:szCs w:val="20"/>
        </w:rPr>
        <w:t>ne sont pas publiés</w:t>
      </w:r>
      <w:r w:rsidRPr="00240C99">
        <w:rPr>
          <w:rFonts w:ascii="Kohinoor Devanagari" w:hAnsi="Kohinoor Devanagari" w:cs="Kohinoor Devanagari"/>
          <w:sz w:val="20"/>
          <w:szCs w:val="20"/>
        </w:rPr>
        <w:t xml:space="preserve"> sur le site du ministère. L’archivage est encore </w:t>
      </w:r>
      <w:r w:rsidRPr="00240C99">
        <w:rPr>
          <w:rFonts w:ascii="Kohinoor Devanagari" w:hAnsi="Kohinoor Devanagari" w:cs="Kohinoor Devanagari"/>
          <w:b/>
          <w:bCs/>
          <w:sz w:val="20"/>
          <w:szCs w:val="20"/>
        </w:rPr>
        <w:t>principalement physique</w:t>
      </w:r>
      <w:r w:rsidRPr="00240C99">
        <w:rPr>
          <w:rFonts w:ascii="Kohinoor Devanagari" w:hAnsi="Kohinoor Devanagari" w:cs="Kohinoor Devanagari"/>
          <w:sz w:val="20"/>
          <w:szCs w:val="20"/>
        </w:rPr>
        <w:t>.</w:t>
      </w:r>
    </w:p>
    <w:p w14:paraId="630DF692" w14:textId="77777777" w:rsidR="00C1700A" w:rsidRPr="00240C99" w:rsidRDefault="00C1700A" w:rsidP="001059BE">
      <w:pPr>
        <w:numPr>
          <w:ilvl w:val="0"/>
          <w:numId w:val="7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L’absence de publication en ligne limite la transparence et entrave l’accès public à des documents pourtant essentiels à l’évaluation des impacts extractifs.</w:t>
      </w:r>
    </w:p>
    <w:p w14:paraId="29B92BE9" w14:textId="77777777" w:rsidR="00C1700A" w:rsidRPr="00240C99" w:rsidRDefault="00C1700A" w:rsidP="001059BE">
      <w:pPr>
        <w:numPr>
          <w:ilvl w:val="0"/>
          <w:numId w:val="7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prioritaires pour la feuille de route ITIE</w:t>
      </w:r>
      <w:r w:rsidRPr="00240C99">
        <w:rPr>
          <w:rFonts w:ascii="Kohinoor Devanagari" w:hAnsi="Kohinoor Devanagari" w:cs="Kohinoor Devanagari"/>
          <w:sz w:val="20"/>
          <w:szCs w:val="20"/>
        </w:rPr>
        <w:t xml:space="preserve"> :</w:t>
      </w:r>
    </w:p>
    <w:p w14:paraId="3FD66090" w14:textId="77777777" w:rsidR="00C1700A" w:rsidRPr="00240C99" w:rsidRDefault="00C1700A" w:rsidP="001059BE">
      <w:pPr>
        <w:numPr>
          <w:ilvl w:val="1"/>
          <w:numId w:val="8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Numériser l’ensemble des EIES et des permis environnementaux</w:t>
      </w:r>
      <w:r w:rsidRPr="00240C99">
        <w:rPr>
          <w:rFonts w:ascii="Kohinoor Devanagari" w:hAnsi="Kohinoor Devanagari" w:cs="Kohinoor Devanagari"/>
          <w:sz w:val="20"/>
          <w:szCs w:val="20"/>
        </w:rPr>
        <w:t xml:space="preserve"> à travers un programme de digitalisation des archives environnementales.</w:t>
      </w:r>
    </w:p>
    <w:p w14:paraId="1E4342C4" w14:textId="77777777" w:rsidR="00C1700A" w:rsidRPr="00240C99" w:rsidRDefault="00C1700A" w:rsidP="001059BE">
      <w:pPr>
        <w:numPr>
          <w:ilvl w:val="1"/>
          <w:numId w:val="8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Créer une base de données publique consultable en ligne</w:t>
      </w:r>
      <w:r w:rsidRPr="00240C99">
        <w:rPr>
          <w:rFonts w:ascii="Kohinoor Devanagari" w:hAnsi="Kohinoor Devanagari" w:cs="Kohinoor Devanagari"/>
          <w:sz w:val="20"/>
          <w:szCs w:val="20"/>
        </w:rPr>
        <w:t>, comportant un moteur de recherche par entreprise, par type de permis et par localisation.</w:t>
      </w:r>
    </w:p>
    <w:p w14:paraId="15651380" w14:textId="77777777" w:rsidR="00C1700A" w:rsidRPr="00240C99" w:rsidRDefault="00C1700A" w:rsidP="001059BE">
      <w:pPr>
        <w:numPr>
          <w:ilvl w:val="1"/>
          <w:numId w:val="8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Mettre à disposition les documents sur le site web du ministère via une </w:t>
      </w:r>
      <w:r w:rsidRPr="00240C99">
        <w:rPr>
          <w:rFonts w:ascii="Kohinoor Devanagari" w:hAnsi="Kohinoor Devanagari" w:cs="Kohinoor Devanagari"/>
          <w:b/>
          <w:bCs/>
          <w:sz w:val="20"/>
          <w:szCs w:val="20"/>
        </w:rPr>
        <w:t>plateforme dédiée et interopérable</w:t>
      </w:r>
      <w:r w:rsidRPr="00240C99">
        <w:rPr>
          <w:rFonts w:ascii="Kohinoor Devanagari" w:hAnsi="Kohinoor Devanagari" w:cs="Kohinoor Devanagari"/>
          <w:sz w:val="20"/>
          <w:szCs w:val="20"/>
        </w:rPr>
        <w:t xml:space="preserve"> avec les portails ITIE et de suivi environnemental national.</w:t>
      </w:r>
    </w:p>
    <w:p w14:paraId="61A9D51D" w14:textId="77777777" w:rsidR="00C1700A" w:rsidRPr="00240C99" w:rsidRDefault="00C1700A" w:rsidP="001059BE">
      <w:pPr>
        <w:numPr>
          <w:ilvl w:val="1"/>
          <w:numId w:val="8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Élaborer un canevas structurant le contenu minimal requis pour les EIES et permis à des fins de divulgation systématique.</w:t>
      </w:r>
    </w:p>
    <w:p w14:paraId="4B619B8A" w14:textId="77777777" w:rsidR="00C1700A" w:rsidRPr="00240C99" w:rsidRDefault="00C1700A"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Données sur les consultations communautaires</w:t>
      </w:r>
    </w:p>
    <w:p w14:paraId="7A98ED72" w14:textId="77777777" w:rsidR="00C1700A" w:rsidRPr="00240C99" w:rsidRDefault="00C1700A" w:rsidP="001059BE">
      <w:pPr>
        <w:numPr>
          <w:ilvl w:val="0"/>
          <w:numId w:val="8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sociale et participative</w:t>
      </w:r>
    </w:p>
    <w:p w14:paraId="57DA3954" w14:textId="77777777" w:rsidR="00C1700A" w:rsidRPr="00240C99" w:rsidRDefault="00C1700A" w:rsidP="001059BE">
      <w:pPr>
        <w:numPr>
          <w:ilvl w:val="0"/>
          <w:numId w:val="8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Les PV de consultations sont annexés aux EIES, mais les rapports d’audience publique ne sont </w:t>
      </w:r>
      <w:r w:rsidRPr="00240C99">
        <w:rPr>
          <w:rFonts w:ascii="Kohinoor Devanagari" w:hAnsi="Kohinoor Devanagari" w:cs="Kohinoor Devanagari"/>
          <w:b/>
          <w:bCs/>
          <w:sz w:val="20"/>
          <w:szCs w:val="20"/>
        </w:rPr>
        <w:t>pas numérisés</w:t>
      </w:r>
      <w:r w:rsidRPr="00240C99">
        <w:rPr>
          <w:rFonts w:ascii="Kohinoor Devanagari" w:hAnsi="Kohinoor Devanagari" w:cs="Kohinoor Devanagari"/>
          <w:sz w:val="20"/>
          <w:szCs w:val="20"/>
        </w:rPr>
        <w:t xml:space="preserve"> et difficilement accessibles.</w:t>
      </w:r>
    </w:p>
    <w:p w14:paraId="69D642B9" w14:textId="77777777" w:rsidR="00C1700A" w:rsidRPr="00240C99" w:rsidRDefault="00C1700A" w:rsidP="001059BE">
      <w:pPr>
        <w:numPr>
          <w:ilvl w:val="0"/>
          <w:numId w:val="8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Faible visibilité des engagements pris auprès des communautés et faible traçabilité.</w:t>
      </w:r>
    </w:p>
    <w:p w14:paraId="5BCAB309" w14:textId="77777777" w:rsidR="00C1700A" w:rsidRPr="00240C99" w:rsidRDefault="00C1700A" w:rsidP="001059BE">
      <w:pPr>
        <w:numPr>
          <w:ilvl w:val="0"/>
          <w:numId w:val="8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prioritaires pour la feuille de route ITIE</w:t>
      </w:r>
      <w:r w:rsidRPr="00240C99">
        <w:rPr>
          <w:rFonts w:ascii="Kohinoor Devanagari" w:hAnsi="Kohinoor Devanagari" w:cs="Kohinoor Devanagari"/>
          <w:sz w:val="20"/>
          <w:szCs w:val="20"/>
        </w:rPr>
        <w:t xml:space="preserve"> :</w:t>
      </w:r>
    </w:p>
    <w:p w14:paraId="0A433577" w14:textId="77777777" w:rsidR="00C1700A" w:rsidRPr="00240C99" w:rsidRDefault="00C1700A" w:rsidP="001059BE">
      <w:pPr>
        <w:numPr>
          <w:ilvl w:val="1"/>
          <w:numId w:val="8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Numériser les rapports d’audience publique</w:t>
      </w:r>
      <w:r w:rsidRPr="00240C99">
        <w:rPr>
          <w:rFonts w:ascii="Kohinoor Devanagari" w:hAnsi="Kohinoor Devanagari" w:cs="Kohinoor Devanagari"/>
          <w:sz w:val="20"/>
          <w:szCs w:val="20"/>
        </w:rPr>
        <w:t xml:space="preserve"> et créer une </w:t>
      </w:r>
      <w:r w:rsidRPr="00240C99">
        <w:rPr>
          <w:rFonts w:ascii="Kohinoor Devanagari" w:hAnsi="Kohinoor Devanagari" w:cs="Kohinoor Devanagari"/>
          <w:b/>
          <w:bCs/>
          <w:sz w:val="20"/>
          <w:szCs w:val="20"/>
        </w:rPr>
        <w:t>base de données interactive des consultations communautaires</w:t>
      </w:r>
      <w:r w:rsidRPr="00240C99">
        <w:rPr>
          <w:rFonts w:ascii="Kohinoor Devanagari" w:hAnsi="Kohinoor Devanagari" w:cs="Kohinoor Devanagari"/>
          <w:sz w:val="20"/>
          <w:szCs w:val="20"/>
        </w:rPr>
        <w:t>.</w:t>
      </w:r>
    </w:p>
    <w:p w14:paraId="4F66DDDC" w14:textId="77777777" w:rsidR="00C1700A" w:rsidRPr="00240C99" w:rsidRDefault="00C1700A" w:rsidP="001059BE">
      <w:pPr>
        <w:numPr>
          <w:ilvl w:val="1"/>
          <w:numId w:val="8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Développer un </w:t>
      </w:r>
      <w:r w:rsidRPr="00240C99">
        <w:rPr>
          <w:rFonts w:ascii="Kohinoor Devanagari" w:hAnsi="Kohinoor Devanagari" w:cs="Kohinoor Devanagari"/>
          <w:b/>
          <w:bCs/>
          <w:sz w:val="20"/>
          <w:szCs w:val="20"/>
        </w:rPr>
        <w:t>module de gestion électronique des audiences</w:t>
      </w:r>
      <w:r w:rsidRPr="00240C99">
        <w:rPr>
          <w:rFonts w:ascii="Kohinoor Devanagari" w:hAnsi="Kohinoor Devanagari" w:cs="Kohinoor Devanagari"/>
          <w:sz w:val="20"/>
          <w:szCs w:val="20"/>
        </w:rPr>
        <w:t xml:space="preserve"> avec des métadonnées (nombre de participants, genre, lieux, préoccupations soulevées).</w:t>
      </w:r>
    </w:p>
    <w:p w14:paraId="385A33A3" w14:textId="77777777" w:rsidR="00C1700A" w:rsidRPr="00240C99" w:rsidRDefault="00C1700A" w:rsidP="001059BE">
      <w:pPr>
        <w:numPr>
          <w:ilvl w:val="1"/>
          <w:numId w:val="8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Former les agents à la gestion digitale des consultations.</w:t>
      </w:r>
    </w:p>
    <w:p w14:paraId="777BD193" w14:textId="77777777" w:rsidR="00C1700A" w:rsidRPr="00240C99" w:rsidRDefault="00C1700A" w:rsidP="001059BE">
      <w:pPr>
        <w:numPr>
          <w:ilvl w:val="1"/>
          <w:numId w:val="8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lastRenderedPageBreak/>
        <w:t xml:space="preserve">Publier des </w:t>
      </w:r>
      <w:r w:rsidRPr="00240C99">
        <w:rPr>
          <w:rFonts w:ascii="Kohinoor Devanagari" w:hAnsi="Kohinoor Devanagari" w:cs="Kohinoor Devanagari"/>
          <w:b/>
          <w:bCs/>
          <w:sz w:val="20"/>
          <w:szCs w:val="20"/>
        </w:rPr>
        <w:t>rapports semestriels</w:t>
      </w:r>
      <w:r w:rsidRPr="00240C99">
        <w:rPr>
          <w:rFonts w:ascii="Kohinoor Devanagari" w:hAnsi="Kohinoor Devanagari" w:cs="Kohinoor Devanagari"/>
          <w:sz w:val="20"/>
          <w:szCs w:val="20"/>
        </w:rPr>
        <w:t xml:space="preserve"> automatisés, issus de la base de données, sur les consultations réalisées dans le secteur extractif.</w:t>
      </w:r>
    </w:p>
    <w:p w14:paraId="6423DAAD" w14:textId="77777777" w:rsidR="00C1700A" w:rsidRPr="00240C99" w:rsidRDefault="00C1700A"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Données sur les gaz à effet de serre (GES)</w:t>
      </w:r>
    </w:p>
    <w:p w14:paraId="4E891CCD" w14:textId="77777777" w:rsidR="00C1700A" w:rsidRPr="00240C99" w:rsidRDefault="00C1700A" w:rsidP="001059BE">
      <w:pPr>
        <w:numPr>
          <w:ilvl w:val="0"/>
          <w:numId w:val="8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climatique</w:t>
      </w:r>
    </w:p>
    <w:p w14:paraId="7D22CB45" w14:textId="77777777" w:rsidR="00C1700A" w:rsidRPr="00240C99" w:rsidRDefault="00C1700A" w:rsidP="001059BE">
      <w:pPr>
        <w:numPr>
          <w:ilvl w:val="0"/>
          <w:numId w:val="8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Données sectorielles sur les GES gérées par la Direction de la conservation et de la gestion des ressources naturelles. Pas de ventilation par entreprise.</w:t>
      </w:r>
    </w:p>
    <w:p w14:paraId="3ADD1E5D" w14:textId="77777777" w:rsidR="00C1700A" w:rsidRPr="00240C99" w:rsidRDefault="00C1700A" w:rsidP="001059BE">
      <w:pPr>
        <w:numPr>
          <w:ilvl w:val="0"/>
          <w:numId w:val="8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Impossibilité d’évaluer l’empreinte carbone spécifique aux projets extractifs.</w:t>
      </w:r>
    </w:p>
    <w:p w14:paraId="4FE298D8" w14:textId="77777777" w:rsidR="00C1700A" w:rsidRPr="00240C99" w:rsidRDefault="00C1700A" w:rsidP="001059BE">
      <w:pPr>
        <w:numPr>
          <w:ilvl w:val="0"/>
          <w:numId w:val="8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prioritaires pour la feuille de route ITIE</w:t>
      </w:r>
      <w:r w:rsidRPr="00240C99">
        <w:rPr>
          <w:rFonts w:ascii="Kohinoor Devanagari" w:hAnsi="Kohinoor Devanagari" w:cs="Kohinoor Devanagari"/>
          <w:sz w:val="20"/>
          <w:szCs w:val="20"/>
        </w:rPr>
        <w:t xml:space="preserve"> :</w:t>
      </w:r>
    </w:p>
    <w:p w14:paraId="430E861D" w14:textId="77777777" w:rsidR="00C1700A" w:rsidRPr="00240C99" w:rsidRDefault="00C1700A" w:rsidP="001059BE">
      <w:pPr>
        <w:numPr>
          <w:ilvl w:val="1"/>
          <w:numId w:val="8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Moderniser le système de suivi GES</w:t>
      </w:r>
      <w:r w:rsidRPr="00240C99">
        <w:rPr>
          <w:rFonts w:ascii="Kohinoor Devanagari" w:hAnsi="Kohinoor Devanagari" w:cs="Kohinoor Devanagari"/>
          <w:sz w:val="20"/>
          <w:szCs w:val="20"/>
        </w:rPr>
        <w:t xml:space="preserve"> en intégrant une base de données permettant l’attribution par société.</w:t>
      </w:r>
    </w:p>
    <w:p w14:paraId="1F3BD2BD" w14:textId="77777777" w:rsidR="00C1700A" w:rsidRPr="00240C99" w:rsidRDefault="00C1700A" w:rsidP="001059BE">
      <w:pPr>
        <w:numPr>
          <w:ilvl w:val="1"/>
          <w:numId w:val="8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Développer un module digital pour la saisie et la transmission électronique</w:t>
      </w:r>
      <w:r w:rsidRPr="00240C99">
        <w:rPr>
          <w:rFonts w:ascii="Kohinoor Devanagari" w:hAnsi="Kohinoor Devanagari" w:cs="Kohinoor Devanagari"/>
          <w:sz w:val="20"/>
          <w:szCs w:val="20"/>
        </w:rPr>
        <w:t xml:space="preserve"> des données GES par les entreprises extractives.</w:t>
      </w:r>
    </w:p>
    <w:p w14:paraId="55106C15" w14:textId="77777777" w:rsidR="00C1700A" w:rsidRPr="00240C99" w:rsidRDefault="00C1700A" w:rsidP="001059BE">
      <w:pPr>
        <w:numPr>
          <w:ilvl w:val="1"/>
          <w:numId w:val="8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Publier annuellement des </w:t>
      </w:r>
      <w:r w:rsidRPr="00240C99">
        <w:rPr>
          <w:rFonts w:ascii="Kohinoor Devanagari" w:hAnsi="Kohinoor Devanagari" w:cs="Kohinoor Devanagari"/>
          <w:b/>
          <w:bCs/>
          <w:sz w:val="20"/>
          <w:szCs w:val="20"/>
        </w:rPr>
        <w:t>bulletins climat-extractif</w:t>
      </w:r>
      <w:r w:rsidRPr="00240C99">
        <w:rPr>
          <w:rFonts w:ascii="Kohinoor Devanagari" w:hAnsi="Kohinoor Devanagari" w:cs="Kohinoor Devanagari"/>
          <w:sz w:val="20"/>
          <w:szCs w:val="20"/>
        </w:rPr>
        <w:t xml:space="preserve"> issus de la base.</w:t>
      </w:r>
    </w:p>
    <w:p w14:paraId="720F5025" w14:textId="77777777" w:rsidR="00C1700A" w:rsidRPr="00240C99" w:rsidRDefault="00C1700A"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Suivi des réhabilitations de sites</w:t>
      </w:r>
    </w:p>
    <w:p w14:paraId="50829892" w14:textId="77777777" w:rsidR="00C1700A" w:rsidRPr="00240C99" w:rsidRDefault="00C1700A" w:rsidP="001059BE">
      <w:pPr>
        <w:numPr>
          <w:ilvl w:val="0"/>
          <w:numId w:val="8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environnementale opérationnelle</w:t>
      </w:r>
    </w:p>
    <w:p w14:paraId="3D240011" w14:textId="77777777" w:rsidR="00C1700A" w:rsidRPr="00240C99" w:rsidRDefault="00C1700A" w:rsidP="001059BE">
      <w:pPr>
        <w:numPr>
          <w:ilvl w:val="0"/>
          <w:numId w:val="8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Aucune base numérique dédiée ; suivi manuel, non systématique, faute de budget.</w:t>
      </w:r>
    </w:p>
    <w:p w14:paraId="29235CA7" w14:textId="77777777" w:rsidR="00C1700A" w:rsidRPr="00240C99" w:rsidRDefault="00C1700A" w:rsidP="001059BE">
      <w:pPr>
        <w:numPr>
          <w:ilvl w:val="0"/>
          <w:numId w:val="8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Opaque pour le public ; difficile d’assurer le suivi effectif des obligations de réhabilitation.</w:t>
      </w:r>
    </w:p>
    <w:p w14:paraId="4CA6294A" w14:textId="77777777" w:rsidR="00C1700A" w:rsidRPr="00240C99" w:rsidRDefault="00C1700A" w:rsidP="001059BE">
      <w:pPr>
        <w:numPr>
          <w:ilvl w:val="0"/>
          <w:numId w:val="8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prioritaires pour la feuille de route ITIE</w:t>
      </w:r>
      <w:r w:rsidRPr="00240C99">
        <w:rPr>
          <w:rFonts w:ascii="Kohinoor Devanagari" w:hAnsi="Kohinoor Devanagari" w:cs="Kohinoor Devanagari"/>
          <w:sz w:val="20"/>
          <w:szCs w:val="20"/>
        </w:rPr>
        <w:t xml:space="preserve"> :</w:t>
      </w:r>
    </w:p>
    <w:p w14:paraId="1D8AE5AF" w14:textId="77777777" w:rsidR="00C1700A" w:rsidRPr="00240C99" w:rsidRDefault="00C1700A" w:rsidP="001059BE">
      <w:pPr>
        <w:numPr>
          <w:ilvl w:val="1"/>
          <w:numId w:val="8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Créer une base digitale nationale de suivi des PGES</w:t>
      </w:r>
      <w:r w:rsidRPr="00240C99">
        <w:rPr>
          <w:rFonts w:ascii="Kohinoor Devanagari" w:hAnsi="Kohinoor Devanagari" w:cs="Kohinoor Devanagari"/>
          <w:sz w:val="20"/>
          <w:szCs w:val="20"/>
        </w:rPr>
        <w:t>, avec accès public restreint ou élargi selon les documents.</w:t>
      </w:r>
    </w:p>
    <w:p w14:paraId="749A3054" w14:textId="77777777" w:rsidR="00C1700A" w:rsidRPr="00240C99" w:rsidRDefault="00C1700A" w:rsidP="001059BE">
      <w:pPr>
        <w:numPr>
          <w:ilvl w:val="1"/>
          <w:numId w:val="8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Mettre en place un </w:t>
      </w:r>
      <w:r w:rsidRPr="00240C99">
        <w:rPr>
          <w:rFonts w:ascii="Kohinoor Devanagari" w:hAnsi="Kohinoor Devanagari" w:cs="Kohinoor Devanagari"/>
          <w:b/>
          <w:bCs/>
          <w:sz w:val="20"/>
          <w:szCs w:val="20"/>
        </w:rPr>
        <w:t>système de reporting en ligne</w:t>
      </w:r>
      <w:r w:rsidRPr="00240C99">
        <w:rPr>
          <w:rFonts w:ascii="Kohinoor Devanagari" w:hAnsi="Kohinoor Devanagari" w:cs="Kohinoor Devanagari"/>
          <w:sz w:val="20"/>
          <w:szCs w:val="20"/>
        </w:rPr>
        <w:t xml:space="preserve"> pour les entreprises minières et pétrolières sur l’état de mise en œuvre des engagements environnementaux.</w:t>
      </w:r>
    </w:p>
    <w:p w14:paraId="5A3D0AD6" w14:textId="77777777" w:rsidR="00C1700A" w:rsidRPr="00240C99" w:rsidRDefault="00C1700A" w:rsidP="001059BE">
      <w:pPr>
        <w:numPr>
          <w:ilvl w:val="1"/>
          <w:numId w:val="8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Mobiliser un financement pour la </w:t>
      </w:r>
      <w:r w:rsidRPr="00240C99">
        <w:rPr>
          <w:rFonts w:ascii="Kohinoor Devanagari" w:hAnsi="Kohinoor Devanagari" w:cs="Kohinoor Devanagari"/>
          <w:b/>
          <w:bCs/>
          <w:sz w:val="20"/>
          <w:szCs w:val="20"/>
        </w:rPr>
        <w:t>digitalisation des engagements passés</w:t>
      </w:r>
      <w:r w:rsidRPr="00240C99">
        <w:rPr>
          <w:rFonts w:ascii="Kohinoor Devanagari" w:hAnsi="Kohinoor Devanagari" w:cs="Kohinoor Devanagari"/>
          <w:sz w:val="20"/>
          <w:szCs w:val="20"/>
        </w:rPr>
        <w:t xml:space="preserve"> et renforcer les capacités du personnel en suivi numérique.</w:t>
      </w:r>
    </w:p>
    <w:p w14:paraId="2F82D4E8" w14:textId="77777777" w:rsidR="00C774F0" w:rsidRDefault="00C774F0">
      <w:pPr>
        <w:rPr>
          <w:rFonts w:ascii="Kohinoor Devanagari" w:eastAsia="Times New Roman" w:hAnsi="Kohinoor Devanagari" w:cs="Kohinoor Devanagari"/>
          <w:b/>
          <w:bCs/>
          <w:sz w:val="20"/>
          <w:szCs w:val="20"/>
        </w:rPr>
      </w:pPr>
      <w:r>
        <w:rPr>
          <w:rFonts w:ascii="Kohinoor Devanagari" w:eastAsia="Times New Roman" w:hAnsi="Kohinoor Devanagari" w:cs="Kohinoor Devanagari"/>
          <w:b/>
          <w:bCs/>
          <w:sz w:val="20"/>
          <w:szCs w:val="20"/>
        </w:rPr>
        <w:br w:type="page"/>
      </w:r>
    </w:p>
    <w:p w14:paraId="7A3814D7" w14:textId="214A03DC" w:rsidR="00C6426B" w:rsidRPr="00240C99" w:rsidRDefault="00703400"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CTS – Comité Technique de Suivi</w:t>
      </w:r>
    </w:p>
    <w:p w14:paraId="5E1079C9" w14:textId="15A4EA60" w:rsidR="00266234" w:rsidRPr="00240C99" w:rsidRDefault="00266234"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Mandat et périmètre d’intervention</w:t>
      </w:r>
    </w:p>
    <w:p w14:paraId="391CEF22" w14:textId="77777777" w:rsidR="00266234" w:rsidRPr="00240C99" w:rsidRDefault="00266234" w:rsidP="001059BE">
      <w:pPr>
        <w:numPr>
          <w:ilvl w:val="0"/>
          <w:numId w:val="8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Institutionnel</w:t>
      </w:r>
    </w:p>
    <w:p w14:paraId="260EC066" w14:textId="77777777" w:rsidR="00266234" w:rsidRPr="00240C99" w:rsidRDefault="00266234" w:rsidP="001059BE">
      <w:pPr>
        <w:numPr>
          <w:ilvl w:val="0"/>
          <w:numId w:val="8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CTS est un organe d’analyse et de suivi des finances publiques. Il exploite principalement des données macroéconomiques et budgétaires à des fins de pilotage stratégique.</w:t>
      </w:r>
    </w:p>
    <w:p w14:paraId="1EF7C2C0" w14:textId="77777777" w:rsidR="00266234" w:rsidRPr="00240C99" w:rsidRDefault="00266234" w:rsidP="001059BE">
      <w:pPr>
        <w:numPr>
          <w:ilvl w:val="0"/>
          <w:numId w:val="8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Rôle vis-à-vis du secteur extractif</w:t>
      </w:r>
      <w:r w:rsidRPr="00240C99">
        <w:rPr>
          <w:rFonts w:ascii="Kohinoor Devanagari" w:hAnsi="Kohinoor Devanagari" w:cs="Kohinoor Devanagari"/>
          <w:sz w:val="20"/>
          <w:szCs w:val="20"/>
        </w:rPr>
        <w:t xml:space="preserve"> : Le CTS n’intègre pas à ce jour le secteur extractif, notamment le secteur minier, dans son périmètre de travail direct. Les données sur ce secteur lui parviennent généralement via les rapports ITIE ou d'autres canaux institutionnels.</w:t>
      </w:r>
    </w:p>
    <w:p w14:paraId="21F71459" w14:textId="77777777" w:rsidR="00266234" w:rsidRPr="00240C99" w:rsidRDefault="00266234"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Pratiques actuelles</w:t>
      </w:r>
    </w:p>
    <w:p w14:paraId="1ED45095" w14:textId="77777777" w:rsidR="00266234" w:rsidRPr="00240C99" w:rsidRDefault="00266234" w:rsidP="001059BE">
      <w:pPr>
        <w:numPr>
          <w:ilvl w:val="0"/>
          <w:numId w:val="8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Utilisation de données secondaires</w:t>
      </w:r>
    </w:p>
    <w:p w14:paraId="52242B16" w14:textId="77777777" w:rsidR="00266234" w:rsidRPr="00240C99" w:rsidRDefault="00266234" w:rsidP="001059BE">
      <w:pPr>
        <w:numPr>
          <w:ilvl w:val="0"/>
          <w:numId w:val="8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CTS utilise des données consolidées, non désagrégées, dans le cadre de ses missions. Il ne collecte ni ne publie de données spécifiques au secteur extractif à ce stade.</w:t>
      </w:r>
    </w:p>
    <w:p w14:paraId="5095C55B" w14:textId="77777777" w:rsidR="00266234" w:rsidRPr="00240C99" w:rsidRDefault="00266234"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Impact sur la divulgation systématique</w:t>
      </w:r>
    </w:p>
    <w:p w14:paraId="1CC11026" w14:textId="6D791819" w:rsidR="00266234" w:rsidRPr="00240C99" w:rsidRDefault="00266234" w:rsidP="001059BE">
      <w:pPr>
        <w:numPr>
          <w:ilvl w:val="0"/>
          <w:numId w:val="8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Bien que le CTS soit un utilisateur des données ITIE, il n'est pas actuellement </w:t>
      </w:r>
      <w:r w:rsidR="000948B5" w:rsidRPr="00240C99">
        <w:rPr>
          <w:rFonts w:ascii="Kohinoor Devanagari" w:hAnsi="Kohinoor Devanagari" w:cs="Kohinoor Devanagari"/>
          <w:sz w:val="20"/>
          <w:szCs w:val="20"/>
        </w:rPr>
        <w:t>fournisseur</w:t>
      </w:r>
      <w:r w:rsidRPr="00240C99">
        <w:rPr>
          <w:rFonts w:ascii="Kohinoor Devanagari" w:hAnsi="Kohinoor Devanagari" w:cs="Kohinoor Devanagari"/>
          <w:sz w:val="20"/>
          <w:szCs w:val="20"/>
        </w:rPr>
        <w:t xml:space="preserve"> ou détenteur de données extractives primaires.</w:t>
      </w:r>
    </w:p>
    <w:p w14:paraId="35953E59" w14:textId="77777777" w:rsidR="00266234" w:rsidRPr="00240C99" w:rsidRDefault="00266234" w:rsidP="001059BE">
      <w:pPr>
        <w:numPr>
          <w:ilvl w:val="0"/>
          <w:numId w:val="8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Positionnement</w:t>
      </w:r>
      <w:r w:rsidRPr="00240C99">
        <w:rPr>
          <w:rFonts w:ascii="Kohinoor Devanagari" w:hAnsi="Kohinoor Devanagari" w:cs="Kohinoor Devanagari"/>
          <w:sz w:val="20"/>
          <w:szCs w:val="20"/>
        </w:rPr>
        <w:t xml:space="preserve"> : Il peut néanmoins être un acteur de relais analytique ou d’accompagnement dans l’intégration budgétaire des flux extractifs à moyen terme.</w:t>
      </w:r>
    </w:p>
    <w:p w14:paraId="5017C8D6" w14:textId="70295AB1" w:rsidR="0016064B" w:rsidRPr="00240C99" w:rsidRDefault="0057729B"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t>Registre de Commerce et du Crédit Mobilier (RCCM)</w:t>
      </w:r>
    </w:p>
    <w:p w14:paraId="26F4A208" w14:textId="04B23086" w:rsidR="000668FE" w:rsidRPr="00240C99" w:rsidRDefault="000668F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Données sur la propriété légale et les états financiers</w:t>
      </w:r>
    </w:p>
    <w:p w14:paraId="11F8CD46" w14:textId="77777777" w:rsidR="000668FE" w:rsidRPr="00240C99" w:rsidRDefault="000668FE" w:rsidP="001059BE">
      <w:pPr>
        <w:pStyle w:val="Paragraphedeliste"/>
        <w:numPr>
          <w:ilvl w:val="0"/>
          <w:numId w:val="9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juridique et financière</w:t>
      </w:r>
    </w:p>
    <w:p w14:paraId="10E7AB08" w14:textId="77777777" w:rsidR="000668FE" w:rsidRPr="00240C99" w:rsidRDefault="000668FE"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w:t>
      </w:r>
      <w:r w:rsidRPr="00240C99">
        <w:rPr>
          <w:rFonts w:ascii="Kohinoor Devanagari" w:hAnsi="Kohinoor Devanagari" w:cs="Kohinoor Devanagari"/>
          <w:sz w:val="20"/>
          <w:szCs w:val="20"/>
        </w:rPr>
        <w:br/>
        <w:t xml:space="preserve">Le RCCM centralise les informations légales sur les sociétés extractives, y compris l’identité des actionnaires (propriété légale) et, en principe, les états financiers. Toutefois, </w:t>
      </w:r>
      <w:r w:rsidRPr="00240C99">
        <w:rPr>
          <w:rFonts w:ascii="Kohinoor Devanagari" w:hAnsi="Kohinoor Devanagari" w:cs="Kohinoor Devanagari"/>
          <w:b/>
          <w:bCs/>
          <w:sz w:val="20"/>
          <w:szCs w:val="20"/>
        </w:rPr>
        <w:t>l’étude a constaté l’inaccessibilité en ligne du registre public</w:t>
      </w:r>
      <w:r w:rsidRPr="00240C99">
        <w:rPr>
          <w:rFonts w:ascii="Kohinoor Devanagari" w:hAnsi="Kohinoor Devanagari" w:cs="Kohinoor Devanagari"/>
          <w:sz w:val="20"/>
          <w:szCs w:val="20"/>
        </w:rPr>
        <w:t>, ce qui empêche tout contrôle citoyen ou automatisation des vérifications. En pratique, les états financiers ne sont pas systématiquement déposés, faute de contrainte effective.</w:t>
      </w:r>
    </w:p>
    <w:p w14:paraId="22991904" w14:textId="77777777" w:rsidR="000668FE" w:rsidRPr="00240C99" w:rsidRDefault="000668FE"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Aucune disposition juridique n’interdit la divulgation des données du RCCM. Ces informations sont considérées comme publiques, mais leur accessibilité reste limitée en l’absence de diffusion numérique ou d’interface dédiée.</w:t>
      </w:r>
    </w:p>
    <w:p w14:paraId="66617063" w14:textId="77777777" w:rsidR="000668FE" w:rsidRPr="00240C99" w:rsidRDefault="000668FE" w:rsidP="001059BE">
      <w:pPr>
        <w:pStyle w:val="Paragraphedeliste"/>
        <w:numPr>
          <w:ilvl w:val="0"/>
          <w:numId w:val="9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w:t>
      </w:r>
      <w:r w:rsidRPr="00240C99">
        <w:rPr>
          <w:rFonts w:ascii="Kohinoor Devanagari" w:hAnsi="Kohinoor Devanagari" w:cs="Kohinoor Devanagari"/>
          <w:sz w:val="20"/>
          <w:szCs w:val="20"/>
        </w:rPr>
        <w:br/>
        <w:t xml:space="preserve">L’absence d’un accès effectif aux données de propriété légale entrave la transparence </w:t>
      </w:r>
      <w:r w:rsidRPr="00240C99">
        <w:rPr>
          <w:rFonts w:ascii="Kohinoor Devanagari" w:hAnsi="Kohinoor Devanagari" w:cs="Kohinoor Devanagari"/>
          <w:sz w:val="20"/>
          <w:szCs w:val="20"/>
        </w:rPr>
        <w:lastRenderedPageBreak/>
        <w:t>sur la structuration des entreprises extractives. De même, l’absence de dépôt effectif des états financiers empêche toute analyse systémique ou fiscale du secteur.</w:t>
      </w:r>
    </w:p>
    <w:p w14:paraId="4321802C" w14:textId="77777777" w:rsidR="000668FE" w:rsidRPr="00240C99" w:rsidRDefault="000668FE"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prioritaires pour la feuille de route ITIE</w:t>
      </w:r>
      <w:r w:rsidRPr="00240C99">
        <w:rPr>
          <w:rFonts w:ascii="Kohinoor Devanagari" w:hAnsi="Kohinoor Devanagari" w:cs="Kohinoor Devanagari"/>
          <w:sz w:val="20"/>
          <w:szCs w:val="20"/>
        </w:rPr>
        <w:t xml:space="preserve"> :</w:t>
      </w:r>
    </w:p>
    <w:p w14:paraId="773EFBA3" w14:textId="77777777" w:rsidR="000668FE" w:rsidRPr="00240C99" w:rsidRDefault="000668FE" w:rsidP="001059BE">
      <w:pPr>
        <w:numPr>
          <w:ilvl w:val="0"/>
          <w:numId w:val="9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Mettre en place un accord d’échange de données</w:t>
      </w:r>
      <w:r w:rsidRPr="00240C99">
        <w:rPr>
          <w:rFonts w:ascii="Kohinoor Devanagari" w:hAnsi="Kohinoor Devanagari" w:cs="Kohinoor Devanagari"/>
          <w:sz w:val="20"/>
          <w:szCs w:val="20"/>
        </w:rPr>
        <w:t xml:space="preserve"> entre le RCCM, le Comité ITIE et le MINMIDT afin de permettre la publication des données sur le site ITIE et les cadastres minier et pétrolier.</w:t>
      </w:r>
    </w:p>
    <w:p w14:paraId="46488C62" w14:textId="77777777" w:rsidR="000668FE" w:rsidRPr="00240C99" w:rsidRDefault="000668FE" w:rsidP="001059BE">
      <w:pPr>
        <w:numPr>
          <w:ilvl w:val="0"/>
          <w:numId w:val="9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Promouvoir la </w:t>
      </w:r>
      <w:r w:rsidRPr="00240C99">
        <w:rPr>
          <w:rFonts w:ascii="Kohinoor Devanagari" w:hAnsi="Kohinoor Devanagari" w:cs="Kohinoor Devanagari"/>
          <w:b/>
          <w:bCs/>
          <w:sz w:val="20"/>
          <w:szCs w:val="20"/>
        </w:rPr>
        <w:t>création ou réactivation d’un portail numérique du RCCM</w:t>
      </w:r>
      <w:r w:rsidRPr="00240C99">
        <w:rPr>
          <w:rFonts w:ascii="Kohinoor Devanagari" w:hAnsi="Kohinoor Devanagari" w:cs="Kohinoor Devanagari"/>
          <w:sz w:val="20"/>
          <w:szCs w:val="20"/>
        </w:rPr>
        <w:t>, avec accès public aux données d’enregistrement, aux statuts, aux actionnaires et aux états financiers.</w:t>
      </w:r>
    </w:p>
    <w:p w14:paraId="683E624B" w14:textId="77777777" w:rsidR="000668FE" w:rsidRPr="00240C99" w:rsidRDefault="000668FE" w:rsidP="001059BE">
      <w:pPr>
        <w:numPr>
          <w:ilvl w:val="0"/>
          <w:numId w:val="91"/>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Imposer le dépôt effectif des états financiers</w:t>
      </w:r>
      <w:r w:rsidRPr="00240C99">
        <w:rPr>
          <w:rFonts w:ascii="Kohinoor Devanagari" w:hAnsi="Kohinoor Devanagari" w:cs="Kohinoor Devanagari"/>
          <w:sz w:val="20"/>
          <w:szCs w:val="20"/>
        </w:rPr>
        <w:t xml:space="preserve"> pour les sociétés extractives, avec un mécanisme de sanction en cas de non-respect.</w:t>
      </w:r>
    </w:p>
    <w:p w14:paraId="3C4DB728" w14:textId="77777777" w:rsidR="000668FE" w:rsidRPr="00240C99" w:rsidRDefault="000668FE"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Données sur les bénéficiaires effectifs</w:t>
      </w:r>
    </w:p>
    <w:p w14:paraId="0C784031" w14:textId="77777777" w:rsidR="000668FE" w:rsidRPr="00240C99" w:rsidRDefault="000668FE"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de transparence (propriété réelle)</w:t>
      </w:r>
    </w:p>
    <w:p w14:paraId="7C43564A" w14:textId="77777777" w:rsidR="000668FE" w:rsidRPr="00240C99" w:rsidRDefault="000668FE" w:rsidP="001059BE">
      <w:pPr>
        <w:pStyle w:val="Paragraphedeliste"/>
        <w:numPr>
          <w:ilvl w:val="0"/>
          <w:numId w:val="9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w:t>
      </w:r>
      <w:r w:rsidRPr="00240C99">
        <w:rPr>
          <w:rFonts w:ascii="Kohinoor Devanagari" w:hAnsi="Kohinoor Devanagari" w:cs="Kohinoor Devanagari"/>
          <w:sz w:val="20"/>
          <w:szCs w:val="20"/>
        </w:rPr>
        <w:br/>
        <w:t xml:space="preserve">Le registre des bénéficiaires effectifs est </w:t>
      </w:r>
      <w:r w:rsidRPr="00240C99">
        <w:rPr>
          <w:rFonts w:ascii="Kohinoor Devanagari" w:hAnsi="Kohinoor Devanagari" w:cs="Kohinoor Devanagari"/>
          <w:b/>
          <w:bCs/>
          <w:sz w:val="20"/>
          <w:szCs w:val="20"/>
        </w:rPr>
        <w:t>géré par le Ministère des Finances (MINFI)</w:t>
      </w:r>
      <w:r w:rsidRPr="00240C99">
        <w:rPr>
          <w:rFonts w:ascii="Kohinoor Devanagari" w:hAnsi="Kohinoor Devanagari" w:cs="Kohinoor Devanagari"/>
          <w:sz w:val="20"/>
          <w:szCs w:val="20"/>
        </w:rPr>
        <w:t xml:space="preserve"> et non par le RCCM. À ce jour, les informations sur les bénéficiaires effectifs ne sont ni collectées ni publiées par le RCCM. Il n’existe pas encore de registre public consultable en ligne à ce sujet.</w:t>
      </w:r>
    </w:p>
    <w:p w14:paraId="3E524174" w14:textId="77777777" w:rsidR="000668FE" w:rsidRPr="00240C99" w:rsidRDefault="000668FE" w:rsidP="001059BE">
      <w:pPr>
        <w:pStyle w:val="Paragraphedeliste"/>
        <w:numPr>
          <w:ilvl w:val="0"/>
          <w:numId w:val="9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w:t>
      </w:r>
      <w:r w:rsidRPr="00240C99">
        <w:rPr>
          <w:rFonts w:ascii="Kohinoor Devanagari" w:hAnsi="Kohinoor Devanagari" w:cs="Kohinoor Devanagari"/>
          <w:sz w:val="20"/>
          <w:szCs w:val="20"/>
        </w:rPr>
        <w:br/>
        <w:t>L'absence de transparence sur la propriété réelle des sociétés limite la capacité des parties prenantes à identifier les personnes physiques contrôlant les activités extractives. Cela constitue un manquement majeur vis-à-vis de l’exigence 2.5 de la Norme ITIE 2023.</w:t>
      </w:r>
    </w:p>
    <w:p w14:paraId="74A5E09F" w14:textId="77777777" w:rsidR="000668FE" w:rsidRPr="00240C99" w:rsidRDefault="000668FE" w:rsidP="00697387">
      <w:p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prioritaires pour la feuille de route ITIE</w:t>
      </w:r>
      <w:r w:rsidRPr="00240C99">
        <w:rPr>
          <w:rFonts w:ascii="Kohinoor Devanagari" w:hAnsi="Kohinoor Devanagari" w:cs="Kohinoor Devanagari"/>
          <w:sz w:val="20"/>
          <w:szCs w:val="20"/>
        </w:rPr>
        <w:t xml:space="preserve"> :</w:t>
      </w:r>
    </w:p>
    <w:p w14:paraId="1AA719AB" w14:textId="77777777" w:rsidR="000668FE" w:rsidRPr="00240C99" w:rsidRDefault="000668FE" w:rsidP="001059BE">
      <w:pPr>
        <w:numPr>
          <w:ilvl w:val="0"/>
          <w:numId w:val="9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Clarifier et documenter le rôle du MINFI</w:t>
      </w:r>
      <w:r w:rsidRPr="00240C99">
        <w:rPr>
          <w:rFonts w:ascii="Kohinoor Devanagari" w:hAnsi="Kohinoor Devanagari" w:cs="Kohinoor Devanagari"/>
          <w:sz w:val="20"/>
          <w:szCs w:val="20"/>
        </w:rPr>
        <w:t xml:space="preserve"> dans la mise en œuvre du registre des bénéficiaires effectifs.</w:t>
      </w:r>
    </w:p>
    <w:p w14:paraId="179069CC" w14:textId="77777777" w:rsidR="000668FE" w:rsidRPr="00240C99" w:rsidRDefault="000668FE" w:rsidP="001059BE">
      <w:pPr>
        <w:numPr>
          <w:ilvl w:val="0"/>
          <w:numId w:val="9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Élaborer un </w:t>
      </w:r>
      <w:r w:rsidRPr="00240C99">
        <w:rPr>
          <w:rFonts w:ascii="Kohinoor Devanagari" w:hAnsi="Kohinoor Devanagari" w:cs="Kohinoor Devanagari"/>
          <w:b/>
          <w:bCs/>
          <w:sz w:val="20"/>
          <w:szCs w:val="20"/>
        </w:rPr>
        <w:t>cadre d’échange automatisé entre MINFI, RCCM et ITIE</w:t>
      </w:r>
      <w:r w:rsidRPr="00240C99">
        <w:rPr>
          <w:rFonts w:ascii="Kohinoor Devanagari" w:hAnsi="Kohinoor Devanagari" w:cs="Kohinoor Devanagari"/>
          <w:sz w:val="20"/>
          <w:szCs w:val="20"/>
        </w:rPr>
        <w:t xml:space="preserve"> pour permettre la collecte et la publication des données.</w:t>
      </w:r>
    </w:p>
    <w:p w14:paraId="1A378530" w14:textId="77777777" w:rsidR="000668FE" w:rsidRPr="00240C99" w:rsidRDefault="000668FE" w:rsidP="001059BE">
      <w:pPr>
        <w:numPr>
          <w:ilvl w:val="0"/>
          <w:numId w:val="9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Intégrer une </w:t>
      </w:r>
      <w:r w:rsidRPr="00240C99">
        <w:rPr>
          <w:rFonts w:ascii="Kohinoor Devanagari" w:hAnsi="Kohinoor Devanagari" w:cs="Kohinoor Devanagari"/>
          <w:b/>
          <w:bCs/>
          <w:sz w:val="20"/>
          <w:szCs w:val="20"/>
        </w:rPr>
        <w:t>fonction de recherche par société extractive</w:t>
      </w:r>
      <w:r w:rsidRPr="00240C99">
        <w:rPr>
          <w:rFonts w:ascii="Kohinoor Devanagari" w:hAnsi="Kohinoor Devanagari" w:cs="Kohinoor Devanagari"/>
          <w:sz w:val="20"/>
          <w:szCs w:val="20"/>
        </w:rPr>
        <w:t>, avec les noms, parts et nationalités des bénéficiaires effectifs, dans un registre public consultable.</w:t>
      </w:r>
    </w:p>
    <w:p w14:paraId="039255DE" w14:textId="1A966FF4" w:rsidR="00C6426B" w:rsidRPr="00240C99" w:rsidRDefault="000668FE" w:rsidP="001059BE">
      <w:pPr>
        <w:numPr>
          <w:ilvl w:val="0"/>
          <w:numId w:val="92"/>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Prévoir une </w:t>
      </w:r>
      <w:r w:rsidRPr="00240C99">
        <w:rPr>
          <w:rFonts w:ascii="Kohinoor Devanagari" w:hAnsi="Kohinoor Devanagari" w:cs="Kohinoor Devanagari"/>
          <w:b/>
          <w:bCs/>
          <w:sz w:val="20"/>
          <w:szCs w:val="20"/>
        </w:rPr>
        <w:t>campagne nationale de mise à jour des données</w:t>
      </w:r>
      <w:r w:rsidRPr="00240C99">
        <w:rPr>
          <w:rFonts w:ascii="Kohinoor Devanagari" w:hAnsi="Kohinoor Devanagari" w:cs="Kohinoor Devanagari"/>
          <w:sz w:val="20"/>
          <w:szCs w:val="20"/>
        </w:rPr>
        <w:t xml:space="preserve"> et d’obligation de déclaration par les entreprises extractives, incluant un mécanisme de vérification et de sanction.</w:t>
      </w:r>
    </w:p>
    <w:p w14:paraId="1B0EA7F5" w14:textId="77777777" w:rsidR="00C774F0" w:rsidRDefault="00C774F0">
      <w:pPr>
        <w:rPr>
          <w:rFonts w:ascii="Kohinoor Devanagari" w:eastAsia="Times New Roman" w:hAnsi="Kohinoor Devanagari" w:cs="Kohinoor Devanagari"/>
          <w:b/>
          <w:bCs/>
          <w:sz w:val="20"/>
          <w:szCs w:val="20"/>
        </w:rPr>
      </w:pPr>
      <w:r>
        <w:rPr>
          <w:rFonts w:ascii="Kohinoor Devanagari" w:eastAsia="Times New Roman" w:hAnsi="Kohinoor Devanagari" w:cs="Kohinoor Devanagari"/>
          <w:b/>
          <w:bCs/>
          <w:sz w:val="20"/>
          <w:szCs w:val="20"/>
        </w:rPr>
        <w:br w:type="page"/>
      </w:r>
    </w:p>
    <w:p w14:paraId="7F383EEF" w14:textId="492E94C8" w:rsidR="00A70049" w:rsidRPr="00240C99" w:rsidRDefault="00A70049" w:rsidP="001059BE">
      <w:pPr>
        <w:pStyle w:val="Titre3"/>
        <w:numPr>
          <w:ilvl w:val="2"/>
          <w:numId w:val="8"/>
        </w:numPr>
        <w:spacing w:before="120" w:after="120" w:line="240" w:lineRule="auto"/>
        <w:rPr>
          <w:rFonts w:ascii="Kohinoor Devanagari" w:eastAsia="Times New Roman" w:hAnsi="Kohinoor Devanagari" w:cs="Kohinoor Devanagari"/>
          <w:b/>
          <w:bCs/>
          <w:color w:val="auto"/>
          <w:sz w:val="20"/>
          <w:szCs w:val="20"/>
        </w:rPr>
      </w:pPr>
      <w:r w:rsidRPr="00240C99">
        <w:rPr>
          <w:rFonts w:ascii="Kohinoor Devanagari" w:eastAsia="Times New Roman" w:hAnsi="Kohinoor Devanagari" w:cs="Kohinoor Devanagari"/>
          <w:b/>
          <w:bCs/>
          <w:color w:val="auto"/>
          <w:sz w:val="20"/>
          <w:szCs w:val="20"/>
        </w:rPr>
        <w:lastRenderedPageBreak/>
        <w:t>L</w:t>
      </w:r>
      <w:r w:rsidR="002147F3" w:rsidRPr="00240C99">
        <w:rPr>
          <w:rFonts w:ascii="Kohinoor Devanagari" w:eastAsia="Times New Roman" w:hAnsi="Kohinoor Devanagari" w:cs="Kohinoor Devanagari"/>
          <w:b/>
          <w:bCs/>
          <w:color w:val="auto"/>
          <w:sz w:val="20"/>
          <w:szCs w:val="20"/>
        </w:rPr>
        <w:t>a Société Civile</w:t>
      </w:r>
    </w:p>
    <w:p w14:paraId="67067026" w14:textId="391D494F" w:rsidR="00705A40" w:rsidRPr="00240C99" w:rsidRDefault="00705A40"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 Accessibilité des études d’impact environnemental</w:t>
      </w:r>
    </w:p>
    <w:p w14:paraId="7D09551E" w14:textId="77777777" w:rsidR="00705A40" w:rsidRPr="00240C99" w:rsidRDefault="00705A40" w:rsidP="001059BE">
      <w:pPr>
        <w:numPr>
          <w:ilvl w:val="0"/>
          <w:numId w:val="9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environnementale publique</w:t>
      </w:r>
    </w:p>
    <w:p w14:paraId="6A134EA4" w14:textId="77777777" w:rsidR="00705A40" w:rsidRPr="00240C99" w:rsidRDefault="00705A40" w:rsidP="001059BE">
      <w:pPr>
        <w:numPr>
          <w:ilvl w:val="0"/>
          <w:numId w:val="9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Seuls les </w:t>
      </w:r>
      <w:r w:rsidRPr="00240C99">
        <w:rPr>
          <w:rFonts w:ascii="Kohinoor Devanagari" w:hAnsi="Kohinoor Devanagari" w:cs="Kohinoor Devanagari"/>
          <w:b/>
          <w:bCs/>
          <w:sz w:val="20"/>
          <w:szCs w:val="20"/>
        </w:rPr>
        <w:t>résumés</w:t>
      </w:r>
      <w:r w:rsidRPr="00240C99">
        <w:rPr>
          <w:rFonts w:ascii="Kohinoor Devanagari" w:hAnsi="Kohinoor Devanagari" w:cs="Kohinoor Devanagari"/>
          <w:sz w:val="20"/>
          <w:szCs w:val="20"/>
        </w:rPr>
        <w:t xml:space="preserve"> des EIES seraient disponibles (à </w:t>
      </w:r>
      <w:r w:rsidRPr="00240C99">
        <w:rPr>
          <w:rFonts w:ascii="Kohinoor Devanagari" w:hAnsi="Kohinoor Devanagari" w:cs="Kohinoor Devanagari"/>
          <w:b/>
          <w:bCs/>
          <w:sz w:val="20"/>
          <w:szCs w:val="20"/>
        </w:rPr>
        <w:t>vérifier</w:t>
      </w:r>
      <w:r w:rsidRPr="00240C99">
        <w:rPr>
          <w:rFonts w:ascii="Kohinoor Devanagari" w:hAnsi="Kohinoor Devanagari" w:cs="Kohinoor Devanagari"/>
          <w:sz w:val="20"/>
          <w:szCs w:val="20"/>
        </w:rPr>
        <w:t>). Les versions intégrales ne sont pas facilement accessibles.</w:t>
      </w:r>
    </w:p>
    <w:p w14:paraId="01BCD567" w14:textId="77777777" w:rsidR="00705A40" w:rsidRPr="00240C99" w:rsidRDefault="00705A40" w:rsidP="001059BE">
      <w:pPr>
        <w:numPr>
          <w:ilvl w:val="0"/>
          <w:numId w:val="9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Limite la capacité des OSC à exercer un contrôle effectif et à assurer un suivi environnemental éclairé.</w:t>
      </w:r>
    </w:p>
    <w:p w14:paraId="44539281" w14:textId="77777777" w:rsidR="00705A40" w:rsidRPr="00240C99" w:rsidRDefault="00705A40" w:rsidP="001059BE">
      <w:pPr>
        <w:numPr>
          <w:ilvl w:val="0"/>
          <w:numId w:val="93"/>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552840A5" w14:textId="77777777" w:rsidR="00705A40" w:rsidRPr="00240C99" w:rsidRDefault="00705A40" w:rsidP="001059BE">
      <w:pPr>
        <w:numPr>
          <w:ilvl w:val="1"/>
          <w:numId w:val="9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Vérifier la disponibilité effective des EIES intégrales.</w:t>
      </w:r>
    </w:p>
    <w:p w14:paraId="0444EC5C" w14:textId="77777777" w:rsidR="00705A40" w:rsidRPr="00240C99" w:rsidRDefault="00705A40" w:rsidP="001059BE">
      <w:pPr>
        <w:numPr>
          <w:ilvl w:val="1"/>
          <w:numId w:val="9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Publier systématiquement les EIES sur le site du MINEPDEP avec fonction de téléchargement.</w:t>
      </w:r>
    </w:p>
    <w:p w14:paraId="632C46E8" w14:textId="77777777" w:rsidR="00705A40" w:rsidRPr="00240C99" w:rsidRDefault="00705A40" w:rsidP="001059BE">
      <w:pPr>
        <w:numPr>
          <w:ilvl w:val="1"/>
          <w:numId w:val="97"/>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Prévoir un </w:t>
      </w:r>
      <w:r w:rsidRPr="00240C99">
        <w:rPr>
          <w:rFonts w:ascii="Kohinoor Devanagari" w:hAnsi="Kohinoor Devanagari" w:cs="Kohinoor Devanagari"/>
          <w:b/>
          <w:bCs/>
          <w:sz w:val="20"/>
          <w:szCs w:val="20"/>
        </w:rPr>
        <w:t>format de résumé accessible</w:t>
      </w:r>
      <w:r w:rsidRPr="00240C99">
        <w:rPr>
          <w:rFonts w:ascii="Kohinoor Devanagari" w:hAnsi="Kohinoor Devanagari" w:cs="Kohinoor Devanagari"/>
          <w:sz w:val="20"/>
          <w:szCs w:val="20"/>
        </w:rPr>
        <w:t xml:space="preserve"> accompagné du document complet en PDF.</w:t>
      </w:r>
    </w:p>
    <w:p w14:paraId="34A9290B" w14:textId="77777777" w:rsidR="00705A40" w:rsidRPr="00240C99" w:rsidRDefault="00705A40"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 Cadastre minier et accès aux données</w:t>
      </w:r>
    </w:p>
    <w:p w14:paraId="58986103" w14:textId="77777777" w:rsidR="00705A40" w:rsidRPr="00240C99" w:rsidRDefault="00705A40" w:rsidP="001059BE">
      <w:pPr>
        <w:numPr>
          <w:ilvl w:val="0"/>
          <w:numId w:val="9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sur les titres miniers</w:t>
      </w:r>
    </w:p>
    <w:p w14:paraId="68CE9E02" w14:textId="77777777" w:rsidR="00705A40" w:rsidRPr="00240C99" w:rsidRDefault="00705A40" w:rsidP="001059BE">
      <w:pPr>
        <w:numPr>
          <w:ilvl w:val="0"/>
          <w:numId w:val="9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 cadastre minier actuel ne permet pas l’</w:t>
      </w:r>
      <w:r w:rsidRPr="00240C99">
        <w:rPr>
          <w:rFonts w:ascii="Kohinoor Devanagari" w:hAnsi="Kohinoor Devanagari" w:cs="Kohinoor Devanagari"/>
          <w:b/>
          <w:bCs/>
          <w:sz w:val="20"/>
          <w:szCs w:val="20"/>
        </w:rPr>
        <w:t>extraction des données</w:t>
      </w:r>
      <w:r w:rsidRPr="00240C99">
        <w:rPr>
          <w:rFonts w:ascii="Kohinoor Devanagari" w:hAnsi="Kohinoor Devanagari" w:cs="Kohinoor Devanagari"/>
          <w:sz w:val="20"/>
          <w:szCs w:val="20"/>
        </w:rPr>
        <w:t xml:space="preserve"> ni une navigation conviviale.</w:t>
      </w:r>
    </w:p>
    <w:p w14:paraId="59909E79" w14:textId="77777777" w:rsidR="00705A40" w:rsidRPr="00240C99" w:rsidRDefault="00705A40" w:rsidP="001059BE">
      <w:pPr>
        <w:numPr>
          <w:ilvl w:val="0"/>
          <w:numId w:val="9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Entrave l’usage des données par les OSC, journalistes et chercheurs.</w:t>
      </w:r>
    </w:p>
    <w:p w14:paraId="1C1C6971" w14:textId="77777777" w:rsidR="00705A40" w:rsidRPr="00240C99" w:rsidRDefault="00705A40" w:rsidP="001059BE">
      <w:pPr>
        <w:numPr>
          <w:ilvl w:val="0"/>
          <w:numId w:val="94"/>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0905D398" w14:textId="77777777" w:rsidR="00705A40" w:rsidRPr="00240C99" w:rsidRDefault="00705A40" w:rsidP="001059BE">
      <w:pPr>
        <w:numPr>
          <w:ilvl w:val="1"/>
          <w:numId w:val="9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Développer une </w:t>
      </w:r>
      <w:r w:rsidRPr="00240C99">
        <w:rPr>
          <w:rFonts w:ascii="Kohinoor Devanagari" w:hAnsi="Kohinoor Devanagari" w:cs="Kohinoor Devanagari"/>
          <w:b/>
          <w:bCs/>
          <w:sz w:val="20"/>
          <w:szCs w:val="20"/>
        </w:rPr>
        <w:t>fonction d’extraction/exportation</w:t>
      </w:r>
      <w:r w:rsidRPr="00240C99">
        <w:rPr>
          <w:rFonts w:ascii="Kohinoor Devanagari" w:hAnsi="Kohinoor Devanagari" w:cs="Kohinoor Devanagari"/>
          <w:sz w:val="20"/>
          <w:szCs w:val="20"/>
        </w:rPr>
        <w:t xml:space="preserve"> de données (.</w:t>
      </w:r>
      <w:proofErr w:type="spellStart"/>
      <w:r w:rsidRPr="00240C99">
        <w:rPr>
          <w:rFonts w:ascii="Kohinoor Devanagari" w:hAnsi="Kohinoor Devanagari" w:cs="Kohinoor Devanagari"/>
          <w:sz w:val="20"/>
          <w:szCs w:val="20"/>
        </w:rPr>
        <w:t>xls</w:t>
      </w:r>
      <w:proofErr w:type="spellEnd"/>
      <w:r w:rsidRPr="00240C99">
        <w:rPr>
          <w:rFonts w:ascii="Kohinoor Devanagari" w:hAnsi="Kohinoor Devanagari" w:cs="Kohinoor Devanagari"/>
          <w:sz w:val="20"/>
          <w:szCs w:val="20"/>
        </w:rPr>
        <w:t>, .csv, .</w:t>
      </w:r>
      <w:proofErr w:type="spellStart"/>
      <w:r w:rsidRPr="00240C99">
        <w:rPr>
          <w:rFonts w:ascii="Kohinoor Devanagari" w:hAnsi="Kohinoor Devanagari" w:cs="Kohinoor Devanagari"/>
          <w:sz w:val="20"/>
          <w:szCs w:val="20"/>
        </w:rPr>
        <w:t>json</w:t>
      </w:r>
      <w:proofErr w:type="spellEnd"/>
      <w:r w:rsidRPr="00240C99">
        <w:rPr>
          <w:rFonts w:ascii="Kohinoor Devanagari" w:hAnsi="Kohinoor Devanagari" w:cs="Kohinoor Devanagari"/>
          <w:sz w:val="20"/>
          <w:szCs w:val="20"/>
        </w:rPr>
        <w:t>).</w:t>
      </w:r>
    </w:p>
    <w:p w14:paraId="3F9322E5" w14:textId="77777777" w:rsidR="00705A40" w:rsidRPr="00240C99" w:rsidRDefault="00705A40" w:rsidP="001059BE">
      <w:pPr>
        <w:numPr>
          <w:ilvl w:val="1"/>
          <w:numId w:val="9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Produire un </w:t>
      </w:r>
      <w:r w:rsidRPr="00240C99">
        <w:rPr>
          <w:rFonts w:ascii="Kohinoor Devanagari" w:hAnsi="Kohinoor Devanagari" w:cs="Kohinoor Devanagari"/>
          <w:b/>
          <w:bCs/>
          <w:sz w:val="20"/>
          <w:szCs w:val="20"/>
        </w:rPr>
        <w:t>guide d’utilisation du cadastre minier</w:t>
      </w:r>
      <w:r w:rsidRPr="00240C99">
        <w:rPr>
          <w:rFonts w:ascii="Kohinoor Devanagari" w:hAnsi="Kohinoor Devanagari" w:cs="Kohinoor Devanagari"/>
          <w:sz w:val="20"/>
          <w:szCs w:val="20"/>
        </w:rPr>
        <w:t>, diffusé en français et en anglais.</w:t>
      </w:r>
    </w:p>
    <w:p w14:paraId="0AAE7945" w14:textId="77777777" w:rsidR="00705A40" w:rsidRPr="00240C99" w:rsidRDefault="00705A40" w:rsidP="001059BE">
      <w:pPr>
        <w:numPr>
          <w:ilvl w:val="1"/>
          <w:numId w:val="98"/>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Organiser des sessions de </w:t>
      </w:r>
      <w:r w:rsidRPr="00240C99">
        <w:rPr>
          <w:rFonts w:ascii="Kohinoor Devanagari" w:hAnsi="Kohinoor Devanagari" w:cs="Kohinoor Devanagari"/>
          <w:b/>
          <w:bCs/>
          <w:sz w:val="20"/>
          <w:szCs w:val="20"/>
        </w:rPr>
        <w:t>formation des utilisateurs</w:t>
      </w:r>
      <w:r w:rsidRPr="00240C99">
        <w:rPr>
          <w:rFonts w:ascii="Kohinoor Devanagari" w:hAnsi="Kohinoor Devanagari" w:cs="Kohinoor Devanagari"/>
          <w:sz w:val="20"/>
          <w:szCs w:val="20"/>
        </w:rPr>
        <w:t xml:space="preserve"> en lien avec le SP ITIE.</w:t>
      </w:r>
    </w:p>
    <w:p w14:paraId="626F09E1" w14:textId="77777777" w:rsidR="00705A40" w:rsidRPr="00240C99" w:rsidRDefault="00705A40"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(iii) Données projet par projet</w:t>
      </w:r>
    </w:p>
    <w:p w14:paraId="58DAF752" w14:textId="77777777" w:rsidR="00705A40" w:rsidRPr="00240C99" w:rsidRDefault="00705A40" w:rsidP="001059BE">
      <w:pPr>
        <w:numPr>
          <w:ilvl w:val="0"/>
          <w:numId w:val="9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multi-source (MINMIDT, MINEE, MINEPDEP, régies)</w:t>
      </w:r>
    </w:p>
    <w:p w14:paraId="634EE4EC" w14:textId="77777777" w:rsidR="00705A40" w:rsidRPr="00240C99" w:rsidRDefault="00705A40" w:rsidP="001059BE">
      <w:pPr>
        <w:numPr>
          <w:ilvl w:val="0"/>
          <w:numId w:val="9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Accès difficile aux données projet par projet ; nécessite de consulter plusieurs sites ou plateformes.</w:t>
      </w:r>
    </w:p>
    <w:p w14:paraId="64B10D4B" w14:textId="77777777" w:rsidR="00705A40" w:rsidRPr="00240C99" w:rsidRDefault="00705A40" w:rsidP="001059BE">
      <w:pPr>
        <w:numPr>
          <w:ilvl w:val="0"/>
          <w:numId w:val="9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Fragmentation de l’information, manque d’exhaustivité.</w:t>
      </w:r>
    </w:p>
    <w:p w14:paraId="7757F519" w14:textId="77777777" w:rsidR="00705A40" w:rsidRPr="00240C99" w:rsidRDefault="00705A40" w:rsidP="001059BE">
      <w:pPr>
        <w:numPr>
          <w:ilvl w:val="0"/>
          <w:numId w:val="95"/>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0462ADC8" w14:textId="77777777" w:rsidR="00705A40" w:rsidRPr="00240C99" w:rsidRDefault="00705A40" w:rsidP="001059BE">
      <w:pPr>
        <w:numPr>
          <w:ilvl w:val="1"/>
          <w:numId w:val="9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Créer une </w:t>
      </w:r>
      <w:r w:rsidRPr="00240C99">
        <w:rPr>
          <w:rFonts w:ascii="Kohinoor Devanagari" w:hAnsi="Kohinoor Devanagari" w:cs="Kohinoor Devanagari"/>
          <w:b/>
          <w:bCs/>
          <w:sz w:val="20"/>
          <w:szCs w:val="20"/>
        </w:rPr>
        <w:t>base de données centralisée "projet par projet"</w:t>
      </w:r>
      <w:r w:rsidRPr="00240C99">
        <w:rPr>
          <w:rFonts w:ascii="Kohinoor Devanagari" w:hAnsi="Kohinoor Devanagari" w:cs="Kohinoor Devanagari"/>
          <w:sz w:val="20"/>
          <w:szCs w:val="20"/>
        </w:rPr>
        <w:t xml:space="preserve"> au MINMIDT ou au SP ITIE.</w:t>
      </w:r>
    </w:p>
    <w:p w14:paraId="58B18222" w14:textId="77777777" w:rsidR="00705A40" w:rsidRPr="00240C99" w:rsidRDefault="00705A40" w:rsidP="001059BE">
      <w:pPr>
        <w:numPr>
          <w:ilvl w:val="1"/>
          <w:numId w:val="9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t xml:space="preserve">Définir un </w:t>
      </w:r>
      <w:r w:rsidRPr="00240C99">
        <w:rPr>
          <w:rFonts w:ascii="Kohinoor Devanagari" w:hAnsi="Kohinoor Devanagari" w:cs="Kohinoor Devanagari"/>
          <w:b/>
          <w:bCs/>
          <w:sz w:val="20"/>
          <w:szCs w:val="20"/>
        </w:rPr>
        <w:t>modèle de fiche projet ITIE</w:t>
      </w:r>
      <w:r w:rsidRPr="00240C99">
        <w:rPr>
          <w:rFonts w:ascii="Kohinoor Devanagari" w:hAnsi="Kohinoor Devanagari" w:cs="Kohinoor Devanagari"/>
          <w:sz w:val="20"/>
          <w:szCs w:val="20"/>
        </w:rPr>
        <w:t>, incluant : opérateur, localisation, licences, fiscalité, production, EIES, consultations, paiements.</w:t>
      </w:r>
    </w:p>
    <w:p w14:paraId="2CDA4033" w14:textId="77777777" w:rsidR="00705A40" w:rsidRPr="00240C99" w:rsidRDefault="00705A40" w:rsidP="001059BE">
      <w:pPr>
        <w:numPr>
          <w:ilvl w:val="1"/>
          <w:numId w:val="99"/>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sz w:val="20"/>
          <w:szCs w:val="20"/>
        </w:rPr>
        <w:lastRenderedPageBreak/>
        <w:t>Interconnecter les systèmes (cadastre, CAMCUBE, CAMSYST, plateforme environnementale).</w:t>
      </w:r>
    </w:p>
    <w:p w14:paraId="4BDDA2F1" w14:textId="77777777" w:rsidR="00705A40" w:rsidRPr="00240C99" w:rsidRDefault="00705A40" w:rsidP="00697387">
      <w:pPr>
        <w:spacing w:before="120" w:after="120" w:line="240" w:lineRule="auto"/>
        <w:jc w:val="both"/>
        <w:rPr>
          <w:rFonts w:ascii="Kohinoor Devanagari" w:hAnsi="Kohinoor Devanagari" w:cs="Kohinoor Devanagari"/>
          <w:b/>
          <w:bCs/>
          <w:sz w:val="20"/>
          <w:szCs w:val="20"/>
        </w:rPr>
      </w:pPr>
      <w:r w:rsidRPr="00240C99">
        <w:rPr>
          <w:rFonts w:ascii="Kohinoor Devanagari" w:hAnsi="Kohinoor Devanagari" w:cs="Kohinoor Devanagari"/>
          <w:b/>
          <w:bCs/>
          <w:sz w:val="20"/>
          <w:szCs w:val="20"/>
        </w:rPr>
        <w:t>(iv) Données sur l’exploitation artisanale</w:t>
      </w:r>
    </w:p>
    <w:p w14:paraId="10C0DD28" w14:textId="77777777" w:rsidR="00705A40" w:rsidRPr="00240C99" w:rsidRDefault="00705A40" w:rsidP="001059BE">
      <w:pPr>
        <w:numPr>
          <w:ilvl w:val="0"/>
          <w:numId w:val="9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Type</w:t>
      </w:r>
      <w:r w:rsidRPr="00240C99">
        <w:rPr>
          <w:rFonts w:ascii="Kohinoor Devanagari" w:hAnsi="Kohinoor Devanagari" w:cs="Kohinoor Devanagari"/>
          <w:sz w:val="20"/>
          <w:szCs w:val="20"/>
        </w:rPr>
        <w:t xml:space="preserve"> : Donnée locale (communes)</w:t>
      </w:r>
    </w:p>
    <w:p w14:paraId="51F106B2" w14:textId="77777777" w:rsidR="00705A40" w:rsidRPr="00240C99" w:rsidRDefault="00705A40" w:rsidP="001059BE">
      <w:pPr>
        <w:numPr>
          <w:ilvl w:val="0"/>
          <w:numId w:val="9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Description</w:t>
      </w:r>
      <w:r w:rsidRPr="00240C99">
        <w:rPr>
          <w:rFonts w:ascii="Kohinoor Devanagari" w:hAnsi="Kohinoor Devanagari" w:cs="Kohinoor Devanagari"/>
          <w:sz w:val="20"/>
          <w:szCs w:val="20"/>
        </w:rPr>
        <w:t xml:space="preserve"> : Les autorisations artisanales ne sont pas gérées dans le système de cadastre minier national.</w:t>
      </w:r>
    </w:p>
    <w:p w14:paraId="269AB93A" w14:textId="77777777" w:rsidR="00705A40" w:rsidRPr="00240C99" w:rsidRDefault="00705A40" w:rsidP="001059BE">
      <w:pPr>
        <w:numPr>
          <w:ilvl w:val="0"/>
          <w:numId w:val="9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Impact</w:t>
      </w:r>
      <w:r w:rsidRPr="00240C99">
        <w:rPr>
          <w:rFonts w:ascii="Kohinoor Devanagari" w:hAnsi="Kohinoor Devanagari" w:cs="Kohinoor Devanagari"/>
          <w:sz w:val="20"/>
          <w:szCs w:val="20"/>
        </w:rPr>
        <w:t xml:space="preserve"> : Non-inclusion dans les statistiques ITIE et faible contrôle.</w:t>
      </w:r>
    </w:p>
    <w:p w14:paraId="18C0A264" w14:textId="77777777" w:rsidR="00705A40" w:rsidRPr="00240C99" w:rsidRDefault="00705A40" w:rsidP="001059BE">
      <w:pPr>
        <w:numPr>
          <w:ilvl w:val="0"/>
          <w:numId w:val="96"/>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Actions suggérées</w:t>
      </w:r>
      <w:r w:rsidRPr="00240C99">
        <w:rPr>
          <w:rFonts w:ascii="Kohinoor Devanagari" w:hAnsi="Kohinoor Devanagari" w:cs="Kohinoor Devanagari"/>
          <w:sz w:val="20"/>
          <w:szCs w:val="20"/>
        </w:rPr>
        <w:t xml:space="preserve"> :</w:t>
      </w:r>
    </w:p>
    <w:p w14:paraId="31229246" w14:textId="77777777" w:rsidR="00705A40" w:rsidRPr="00240C99" w:rsidRDefault="00705A40" w:rsidP="001059BE">
      <w:pPr>
        <w:numPr>
          <w:ilvl w:val="1"/>
          <w:numId w:val="10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Recenser les données existantes dans les communes</w:t>
      </w:r>
      <w:r w:rsidRPr="00240C99">
        <w:rPr>
          <w:rFonts w:ascii="Kohinoor Devanagari" w:hAnsi="Kohinoor Devanagari" w:cs="Kohinoor Devanagari"/>
          <w:sz w:val="20"/>
          <w:szCs w:val="20"/>
        </w:rPr>
        <w:t xml:space="preserve"> via une enquête rapide.</w:t>
      </w:r>
    </w:p>
    <w:p w14:paraId="165246E6" w14:textId="77777777" w:rsidR="00705A40" w:rsidRPr="00240C99" w:rsidRDefault="00705A40" w:rsidP="001059BE">
      <w:pPr>
        <w:numPr>
          <w:ilvl w:val="1"/>
          <w:numId w:val="100"/>
        </w:numPr>
        <w:spacing w:before="120" w:after="120" w:line="240" w:lineRule="auto"/>
        <w:jc w:val="both"/>
        <w:rPr>
          <w:rFonts w:ascii="Kohinoor Devanagari" w:hAnsi="Kohinoor Devanagari" w:cs="Kohinoor Devanagari"/>
          <w:sz w:val="20"/>
          <w:szCs w:val="20"/>
        </w:rPr>
      </w:pPr>
      <w:r w:rsidRPr="00240C99">
        <w:rPr>
          <w:rFonts w:ascii="Kohinoor Devanagari" w:hAnsi="Kohinoor Devanagari" w:cs="Kohinoor Devanagari"/>
          <w:b/>
          <w:bCs/>
          <w:sz w:val="20"/>
          <w:szCs w:val="20"/>
        </w:rPr>
        <w:t>Étendre le périmètre du cadastre</w:t>
      </w:r>
      <w:r w:rsidRPr="00240C99">
        <w:rPr>
          <w:rFonts w:ascii="Kohinoor Devanagari" w:hAnsi="Kohinoor Devanagari" w:cs="Kohinoor Devanagari"/>
          <w:sz w:val="20"/>
          <w:szCs w:val="20"/>
        </w:rPr>
        <w:t xml:space="preserve"> pour inclure l’artisanat (y compris zones d’exploitation artisanale).</w:t>
      </w:r>
    </w:p>
    <w:p w14:paraId="2FB7055D" w14:textId="315CB106" w:rsidR="00C6426B" w:rsidRPr="00240C99" w:rsidRDefault="00705A40" w:rsidP="001059BE">
      <w:pPr>
        <w:numPr>
          <w:ilvl w:val="1"/>
          <w:numId w:val="100"/>
        </w:numPr>
        <w:spacing w:before="120" w:after="120" w:line="240" w:lineRule="auto"/>
        <w:jc w:val="both"/>
        <w:rPr>
          <w:rStyle w:val="lev"/>
          <w:rFonts w:ascii="Kohinoor Devanagari" w:hAnsi="Kohinoor Devanagari" w:cs="Kohinoor Devanagari"/>
          <w:b w:val="0"/>
          <w:bCs w:val="0"/>
          <w:sz w:val="20"/>
          <w:szCs w:val="20"/>
        </w:rPr>
      </w:pPr>
      <w:r w:rsidRPr="00240C99">
        <w:rPr>
          <w:rFonts w:ascii="Kohinoor Devanagari" w:hAnsi="Kohinoor Devanagari" w:cs="Kohinoor Devanagari"/>
          <w:sz w:val="20"/>
          <w:szCs w:val="20"/>
        </w:rPr>
        <w:t xml:space="preserve">Élaborer une </w:t>
      </w:r>
      <w:r w:rsidRPr="00240C99">
        <w:rPr>
          <w:rFonts w:ascii="Kohinoor Devanagari" w:hAnsi="Kohinoor Devanagari" w:cs="Kohinoor Devanagari"/>
          <w:b/>
          <w:bCs/>
          <w:sz w:val="20"/>
          <w:szCs w:val="20"/>
        </w:rPr>
        <w:t>feuille de route de centralisation</w:t>
      </w:r>
      <w:r w:rsidRPr="00240C99">
        <w:rPr>
          <w:rFonts w:ascii="Kohinoor Devanagari" w:hAnsi="Kohinoor Devanagari" w:cs="Kohinoor Devanagari"/>
          <w:sz w:val="20"/>
          <w:szCs w:val="20"/>
        </w:rPr>
        <w:t xml:space="preserve"> de ces autorisations au MINMIDT.</w:t>
      </w:r>
    </w:p>
    <w:p w14:paraId="5DA73DD3" w14:textId="58A285C6" w:rsidR="00E744B2" w:rsidRPr="00240C99" w:rsidRDefault="00E744B2" w:rsidP="00697387">
      <w:pPr>
        <w:pStyle w:val="NormalWeb"/>
        <w:spacing w:before="120" w:beforeAutospacing="0" w:after="120" w:afterAutospacing="0"/>
        <w:jc w:val="both"/>
        <w:rPr>
          <w:rFonts w:ascii="Kohinoor Devanagari" w:eastAsiaTheme="minorHAnsi" w:hAnsi="Kohinoor Devanagari" w:cs="Kohinoor Devanagari"/>
          <w:sz w:val="20"/>
          <w:szCs w:val="20"/>
        </w:rPr>
        <w:sectPr w:rsidR="00E744B2" w:rsidRPr="00240C99" w:rsidSect="00405547">
          <w:pgSz w:w="11906" w:h="16838"/>
          <w:pgMar w:top="1417" w:right="1417" w:bottom="1417" w:left="1417" w:header="708" w:footer="708" w:gutter="0"/>
          <w:cols w:space="708"/>
          <w:docGrid w:linePitch="360"/>
        </w:sectPr>
      </w:pPr>
    </w:p>
    <w:p w14:paraId="52102825" w14:textId="38B93BB4" w:rsidR="00E019D7" w:rsidRPr="00240C99" w:rsidRDefault="00551A71" w:rsidP="00240C99">
      <w:pPr>
        <w:pStyle w:val="Titre2"/>
        <w:numPr>
          <w:ilvl w:val="1"/>
          <w:numId w:val="8"/>
        </w:numPr>
        <w:spacing w:before="120" w:after="120" w:line="240" w:lineRule="auto"/>
        <w:rPr>
          <w:rFonts w:ascii="Kohinoor Devanagari" w:eastAsia="Times New Roman" w:hAnsi="Kohinoor Devanagari" w:cs="Kohinoor Devanagari"/>
          <w:b/>
          <w:bCs/>
          <w:color w:val="000000" w:themeColor="text1"/>
          <w:sz w:val="20"/>
          <w:szCs w:val="20"/>
          <w:lang w:eastAsia="fr-FR"/>
        </w:rPr>
      </w:pPr>
      <w:bookmarkStart w:id="31" w:name="_Toc204691618"/>
      <w:r w:rsidRPr="00240C99">
        <w:rPr>
          <w:rFonts w:ascii="Kohinoor Devanagari" w:eastAsia="Times New Roman" w:hAnsi="Kohinoor Devanagari" w:cs="Kohinoor Devanagari"/>
          <w:b/>
          <w:bCs/>
          <w:color w:val="000000" w:themeColor="text1"/>
          <w:sz w:val="20"/>
          <w:szCs w:val="20"/>
          <w:lang w:eastAsia="fr-FR"/>
        </w:rPr>
        <w:lastRenderedPageBreak/>
        <w:t xml:space="preserve">Identification des </w:t>
      </w:r>
      <w:r w:rsidR="000071DC" w:rsidRPr="00240C99">
        <w:rPr>
          <w:rFonts w:ascii="Kohinoor Devanagari" w:eastAsia="Times New Roman" w:hAnsi="Kohinoor Devanagari" w:cs="Kohinoor Devanagari"/>
          <w:b/>
          <w:bCs/>
          <w:color w:val="000000" w:themeColor="text1"/>
          <w:sz w:val="20"/>
          <w:szCs w:val="20"/>
          <w:lang w:eastAsia="fr-FR"/>
        </w:rPr>
        <w:t xml:space="preserve">actions et des </w:t>
      </w:r>
      <w:r w:rsidRPr="00240C99">
        <w:rPr>
          <w:rFonts w:ascii="Kohinoor Devanagari" w:eastAsia="Times New Roman" w:hAnsi="Kohinoor Devanagari" w:cs="Kohinoor Devanagari"/>
          <w:b/>
          <w:bCs/>
          <w:color w:val="000000" w:themeColor="text1"/>
          <w:sz w:val="20"/>
          <w:szCs w:val="20"/>
          <w:lang w:eastAsia="fr-FR"/>
        </w:rPr>
        <w:t>besoins</w:t>
      </w:r>
      <w:bookmarkEnd w:id="31"/>
    </w:p>
    <w:p w14:paraId="3AC9AA9F" w14:textId="46F475AB" w:rsidR="000071DC" w:rsidRPr="00240C99" w:rsidRDefault="002E46E6" w:rsidP="00240C99">
      <w:pPr>
        <w:spacing w:before="120" w:after="120" w:line="240" w:lineRule="auto"/>
        <w:jc w:val="both"/>
        <w:rPr>
          <w:rFonts w:ascii="Kohinoor Devanagari" w:hAnsi="Kohinoor Devanagari" w:cs="Kohinoor Devanagari"/>
          <w:color w:val="0D0D0D"/>
          <w:sz w:val="20"/>
          <w:szCs w:val="20"/>
          <w:shd w:val="clear" w:color="auto" w:fill="FFFFFF"/>
        </w:rPr>
      </w:pPr>
      <w:r w:rsidRPr="00240C99">
        <w:rPr>
          <w:rFonts w:ascii="Kohinoor Devanagari" w:hAnsi="Kohinoor Devanagari" w:cs="Kohinoor Devanagari"/>
          <w:color w:val="0D0D0D"/>
          <w:sz w:val="20"/>
          <w:szCs w:val="20"/>
          <w:shd w:val="clear" w:color="auto" w:fill="FFFFFF"/>
        </w:rPr>
        <w:t>Cette section fournit une analyse visant à identifier les actions nécessaires à lever les obstacles et contraintes existants dans la divulgation systématique des données</w:t>
      </w:r>
      <w:r w:rsidR="00CB1328" w:rsidRPr="00240C99">
        <w:rPr>
          <w:rFonts w:ascii="Kohinoor Devanagari" w:hAnsi="Kohinoor Devanagari" w:cs="Kohinoor Devanagari"/>
          <w:color w:val="0D0D0D"/>
          <w:sz w:val="20"/>
          <w:szCs w:val="20"/>
          <w:shd w:val="clear" w:color="auto" w:fill="FFFFFF"/>
        </w:rPr>
        <w:t xml:space="preserve">. </w:t>
      </w:r>
      <w:r w:rsidR="00984EAB" w:rsidRPr="00240C99">
        <w:rPr>
          <w:rFonts w:ascii="Kohinoor Devanagari" w:hAnsi="Kohinoor Devanagari" w:cs="Kohinoor Devanagari"/>
          <w:color w:val="0D0D0D"/>
          <w:sz w:val="20"/>
          <w:szCs w:val="20"/>
          <w:shd w:val="clear" w:color="auto" w:fill="FFFFFF"/>
        </w:rPr>
        <w:t xml:space="preserve">Le tableau suivant offre un aperçu des actions spécifiques requises pour chaque structure </w:t>
      </w:r>
      <w:r w:rsidR="00A63109" w:rsidRPr="00240C99">
        <w:rPr>
          <w:rFonts w:ascii="Kohinoor Devanagari" w:hAnsi="Kohinoor Devanagari" w:cs="Kohinoor Devanagari"/>
          <w:color w:val="0D0D0D"/>
          <w:sz w:val="20"/>
          <w:szCs w:val="20"/>
          <w:shd w:val="clear" w:color="auto" w:fill="FFFFFF"/>
        </w:rPr>
        <w:t>consultée</w:t>
      </w:r>
      <w:r w:rsidR="00984EAB" w:rsidRPr="00240C99">
        <w:rPr>
          <w:rFonts w:ascii="Kohinoor Devanagari" w:hAnsi="Kohinoor Devanagari" w:cs="Kohinoor Devanagari"/>
          <w:color w:val="0D0D0D"/>
          <w:sz w:val="20"/>
          <w:szCs w:val="20"/>
          <w:shd w:val="clear" w:color="auto" w:fill="FFFFFF"/>
        </w:rPr>
        <w:t xml:space="preserve">, abordant directement les défis identifiés </w:t>
      </w:r>
      <w:r w:rsidR="00A63109" w:rsidRPr="00240C99">
        <w:rPr>
          <w:rFonts w:ascii="Kohinoor Devanagari" w:hAnsi="Kohinoor Devanagari" w:cs="Kohinoor Devanagari"/>
          <w:color w:val="0D0D0D"/>
          <w:sz w:val="20"/>
          <w:szCs w:val="20"/>
          <w:shd w:val="clear" w:color="auto" w:fill="FFFFFF"/>
        </w:rPr>
        <w:t>et le</w:t>
      </w:r>
      <w:r w:rsidR="006C7265" w:rsidRPr="00240C99">
        <w:rPr>
          <w:rFonts w:ascii="Kohinoor Devanagari" w:hAnsi="Kohinoor Devanagari" w:cs="Kohinoor Devanagari"/>
          <w:color w:val="0D0D0D"/>
          <w:sz w:val="20"/>
          <w:szCs w:val="20"/>
          <w:shd w:val="clear" w:color="auto" w:fill="FFFFFF"/>
        </w:rPr>
        <w:t>s</w:t>
      </w:r>
      <w:r w:rsidR="00A63109" w:rsidRPr="00240C99">
        <w:rPr>
          <w:rFonts w:ascii="Kohinoor Devanagari" w:hAnsi="Kohinoor Devanagari" w:cs="Kohinoor Devanagari"/>
          <w:color w:val="0D0D0D"/>
          <w:sz w:val="20"/>
          <w:szCs w:val="20"/>
          <w:shd w:val="clear" w:color="auto" w:fill="FFFFFF"/>
        </w:rPr>
        <w:t xml:space="preserve"> time frame</w:t>
      </w:r>
      <w:r w:rsidR="006C7265" w:rsidRPr="00240C99">
        <w:rPr>
          <w:rFonts w:ascii="Kohinoor Devanagari" w:hAnsi="Kohinoor Devanagari" w:cs="Kohinoor Devanagari"/>
          <w:color w:val="0D0D0D"/>
          <w:sz w:val="20"/>
          <w:szCs w:val="20"/>
          <w:shd w:val="clear" w:color="auto" w:fill="FFFFFF"/>
        </w:rPr>
        <w:t>s associés à chaque action</w:t>
      </w:r>
      <w:r w:rsidR="00984EAB" w:rsidRPr="00240C99">
        <w:rPr>
          <w:rFonts w:ascii="Kohinoor Devanagari" w:hAnsi="Kohinoor Devanagari" w:cs="Kohinoor Devanagari"/>
          <w:color w:val="0D0D0D"/>
          <w:sz w:val="20"/>
          <w:szCs w:val="20"/>
          <w:shd w:val="clear" w:color="auto" w:fill="FFFFFF"/>
        </w:rPr>
        <w:t>.</w:t>
      </w:r>
    </w:p>
    <w:p w14:paraId="5905F3AD" w14:textId="40121C7E" w:rsidR="0034704C" w:rsidRPr="00240C99" w:rsidRDefault="0034704C" w:rsidP="00240C99">
      <w:pPr>
        <w:pStyle w:val="Paragraphedeliste"/>
        <w:numPr>
          <w:ilvl w:val="0"/>
          <w:numId w:val="5"/>
        </w:numPr>
        <w:spacing w:before="120" w:after="120" w:line="240" w:lineRule="auto"/>
        <w:jc w:val="both"/>
        <w:rPr>
          <w:rFonts w:ascii="Kohinoor Devanagari" w:hAnsi="Kohinoor Devanagari" w:cs="Kohinoor Devanagari"/>
          <w:b/>
          <w:bCs/>
          <w:color w:val="0D0D0D"/>
          <w:sz w:val="20"/>
          <w:szCs w:val="20"/>
          <w:shd w:val="clear" w:color="auto" w:fill="FFFFFF"/>
        </w:rPr>
      </w:pPr>
      <w:r w:rsidRPr="00240C99">
        <w:rPr>
          <w:rFonts w:ascii="Kohinoor Devanagari" w:hAnsi="Kohinoor Devanagari" w:cs="Kohinoor Devanagari"/>
          <w:b/>
          <w:bCs/>
          <w:color w:val="0D0D0D"/>
          <w:sz w:val="20"/>
          <w:szCs w:val="20"/>
          <w:shd w:val="clear" w:color="auto" w:fill="FFFFFF"/>
        </w:rPr>
        <w:t xml:space="preserve">Actions </w:t>
      </w:r>
      <w:r w:rsidR="00365A42" w:rsidRPr="00240C99">
        <w:rPr>
          <w:rFonts w:ascii="Kohinoor Devanagari" w:hAnsi="Kohinoor Devanagari" w:cs="Kohinoor Devanagari"/>
          <w:b/>
          <w:bCs/>
          <w:color w:val="0D0D0D"/>
          <w:sz w:val="20"/>
          <w:szCs w:val="20"/>
          <w:shd w:val="clear" w:color="auto" w:fill="FFFFFF"/>
        </w:rPr>
        <w:t>n</w:t>
      </w:r>
      <w:r w:rsidRPr="00240C99">
        <w:rPr>
          <w:rFonts w:ascii="Kohinoor Devanagari" w:hAnsi="Kohinoor Devanagari" w:cs="Kohinoor Devanagari"/>
          <w:b/>
          <w:bCs/>
          <w:color w:val="0D0D0D"/>
          <w:sz w:val="20"/>
          <w:szCs w:val="20"/>
          <w:shd w:val="clear" w:color="auto" w:fill="FFFFFF"/>
        </w:rPr>
        <w:t xml:space="preserve">écessaires pour </w:t>
      </w:r>
      <w:r w:rsidR="00365A42" w:rsidRPr="00240C99">
        <w:rPr>
          <w:rFonts w:ascii="Kohinoor Devanagari" w:hAnsi="Kohinoor Devanagari" w:cs="Kohinoor Devanagari"/>
          <w:b/>
          <w:bCs/>
          <w:color w:val="0D0D0D"/>
          <w:sz w:val="20"/>
          <w:szCs w:val="20"/>
          <w:shd w:val="clear" w:color="auto" w:fill="FFFFFF"/>
        </w:rPr>
        <w:t>l</w:t>
      </w:r>
      <w:r w:rsidRPr="00240C99">
        <w:rPr>
          <w:rFonts w:ascii="Kohinoor Devanagari" w:hAnsi="Kohinoor Devanagari" w:cs="Kohinoor Devanagari"/>
          <w:b/>
          <w:bCs/>
          <w:color w:val="0D0D0D"/>
          <w:sz w:val="20"/>
          <w:szCs w:val="20"/>
          <w:shd w:val="clear" w:color="auto" w:fill="FFFFFF"/>
        </w:rPr>
        <w:t xml:space="preserve">ever les </w:t>
      </w:r>
      <w:r w:rsidR="00365A42" w:rsidRPr="00240C99">
        <w:rPr>
          <w:rFonts w:ascii="Kohinoor Devanagari" w:hAnsi="Kohinoor Devanagari" w:cs="Kohinoor Devanagari"/>
          <w:b/>
          <w:bCs/>
          <w:color w:val="0D0D0D"/>
          <w:sz w:val="20"/>
          <w:szCs w:val="20"/>
          <w:shd w:val="clear" w:color="auto" w:fill="FFFFFF"/>
        </w:rPr>
        <w:t>o</w:t>
      </w:r>
      <w:r w:rsidRPr="00240C99">
        <w:rPr>
          <w:rFonts w:ascii="Kohinoor Devanagari" w:hAnsi="Kohinoor Devanagari" w:cs="Kohinoor Devanagari"/>
          <w:b/>
          <w:bCs/>
          <w:color w:val="0D0D0D"/>
          <w:sz w:val="20"/>
          <w:szCs w:val="20"/>
          <w:shd w:val="clear" w:color="auto" w:fill="FFFFFF"/>
        </w:rPr>
        <w:t xml:space="preserve">bstacles et </w:t>
      </w:r>
      <w:r w:rsidR="00365A42" w:rsidRPr="00240C99">
        <w:rPr>
          <w:rFonts w:ascii="Kohinoor Devanagari" w:hAnsi="Kohinoor Devanagari" w:cs="Kohinoor Devanagari"/>
          <w:b/>
          <w:bCs/>
          <w:color w:val="0D0D0D"/>
          <w:sz w:val="20"/>
          <w:szCs w:val="20"/>
          <w:shd w:val="clear" w:color="auto" w:fill="FFFFFF"/>
        </w:rPr>
        <w:t>c</w:t>
      </w:r>
      <w:r w:rsidRPr="00240C99">
        <w:rPr>
          <w:rFonts w:ascii="Kohinoor Devanagari" w:hAnsi="Kohinoor Devanagari" w:cs="Kohinoor Devanagari"/>
          <w:b/>
          <w:bCs/>
          <w:color w:val="0D0D0D"/>
          <w:sz w:val="20"/>
          <w:szCs w:val="20"/>
          <w:shd w:val="clear" w:color="auto" w:fill="FFFFFF"/>
        </w:rPr>
        <w:t>ontraintes</w:t>
      </w:r>
    </w:p>
    <w:tbl>
      <w:tblPr>
        <w:tblW w:w="14176" w:type="dxa"/>
        <w:tblLayout w:type="fixed"/>
        <w:tblCellMar>
          <w:left w:w="70" w:type="dxa"/>
          <w:right w:w="70" w:type="dxa"/>
        </w:tblCellMar>
        <w:tblLook w:val="04A0" w:firstRow="1" w:lastRow="0" w:firstColumn="1" w:lastColumn="0" w:noHBand="0" w:noVBand="1"/>
      </w:tblPr>
      <w:tblGrid>
        <w:gridCol w:w="1134"/>
        <w:gridCol w:w="1560"/>
        <w:gridCol w:w="1985"/>
        <w:gridCol w:w="2268"/>
        <w:gridCol w:w="1560"/>
        <w:gridCol w:w="850"/>
        <w:gridCol w:w="992"/>
        <w:gridCol w:w="1559"/>
        <w:gridCol w:w="1417"/>
        <w:gridCol w:w="851"/>
      </w:tblGrid>
      <w:tr w:rsidR="00BA7F56" w:rsidRPr="00CB4D41" w14:paraId="3EDE070E" w14:textId="77777777" w:rsidTr="00BA7F56">
        <w:trPr>
          <w:trHeight w:val="580"/>
          <w:tblHeader/>
        </w:trPr>
        <w:tc>
          <w:tcPr>
            <w:tcW w:w="1134" w:type="dxa"/>
            <w:tcBorders>
              <w:top w:val="nil"/>
              <w:left w:val="nil"/>
              <w:bottom w:val="nil"/>
              <w:right w:val="nil"/>
            </w:tcBorders>
            <w:shd w:val="clear" w:color="auto" w:fill="47626F"/>
            <w:vAlign w:val="center"/>
            <w:hideMark/>
          </w:tcPr>
          <w:p w14:paraId="57FB1534"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Structure</w:t>
            </w:r>
          </w:p>
        </w:tc>
        <w:tc>
          <w:tcPr>
            <w:tcW w:w="1560" w:type="dxa"/>
            <w:tcBorders>
              <w:top w:val="nil"/>
              <w:left w:val="nil"/>
              <w:bottom w:val="nil"/>
              <w:right w:val="nil"/>
            </w:tcBorders>
            <w:shd w:val="clear" w:color="auto" w:fill="47626F"/>
            <w:vAlign w:val="center"/>
            <w:hideMark/>
          </w:tcPr>
          <w:p w14:paraId="566941AF"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Objet</w:t>
            </w:r>
          </w:p>
        </w:tc>
        <w:tc>
          <w:tcPr>
            <w:tcW w:w="1985" w:type="dxa"/>
            <w:tcBorders>
              <w:top w:val="nil"/>
              <w:left w:val="nil"/>
              <w:bottom w:val="nil"/>
              <w:right w:val="nil"/>
            </w:tcBorders>
            <w:shd w:val="clear" w:color="auto" w:fill="47626F"/>
            <w:vAlign w:val="center"/>
            <w:hideMark/>
          </w:tcPr>
          <w:p w14:paraId="1F09AF97"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Obstacles identifiés</w:t>
            </w:r>
          </w:p>
        </w:tc>
        <w:tc>
          <w:tcPr>
            <w:tcW w:w="2268" w:type="dxa"/>
            <w:tcBorders>
              <w:top w:val="nil"/>
              <w:left w:val="nil"/>
              <w:bottom w:val="nil"/>
              <w:right w:val="nil"/>
            </w:tcBorders>
            <w:shd w:val="clear" w:color="auto" w:fill="47626F"/>
            <w:vAlign w:val="center"/>
            <w:hideMark/>
          </w:tcPr>
          <w:p w14:paraId="51A2059A"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Actions nécessaires</w:t>
            </w:r>
          </w:p>
        </w:tc>
        <w:tc>
          <w:tcPr>
            <w:tcW w:w="1560" w:type="dxa"/>
            <w:tcBorders>
              <w:top w:val="nil"/>
              <w:left w:val="nil"/>
              <w:bottom w:val="nil"/>
              <w:right w:val="nil"/>
            </w:tcBorders>
            <w:shd w:val="clear" w:color="auto" w:fill="47626F"/>
            <w:vAlign w:val="center"/>
            <w:hideMark/>
          </w:tcPr>
          <w:p w14:paraId="4FBDC54D"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Responsable(s)</w:t>
            </w:r>
          </w:p>
        </w:tc>
        <w:tc>
          <w:tcPr>
            <w:tcW w:w="850" w:type="dxa"/>
            <w:tcBorders>
              <w:top w:val="nil"/>
              <w:left w:val="nil"/>
              <w:bottom w:val="nil"/>
              <w:right w:val="nil"/>
            </w:tcBorders>
            <w:shd w:val="clear" w:color="auto" w:fill="47626F"/>
            <w:vAlign w:val="center"/>
            <w:hideMark/>
          </w:tcPr>
          <w:p w14:paraId="3E470B71"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Durée (mois)</w:t>
            </w:r>
          </w:p>
        </w:tc>
        <w:tc>
          <w:tcPr>
            <w:tcW w:w="992" w:type="dxa"/>
            <w:tcBorders>
              <w:top w:val="nil"/>
              <w:left w:val="nil"/>
              <w:bottom w:val="nil"/>
              <w:right w:val="nil"/>
            </w:tcBorders>
            <w:shd w:val="clear" w:color="auto" w:fill="47626F"/>
            <w:vAlign w:val="center"/>
            <w:hideMark/>
          </w:tcPr>
          <w:p w14:paraId="468EBA2E"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Priorité</w:t>
            </w:r>
          </w:p>
        </w:tc>
        <w:tc>
          <w:tcPr>
            <w:tcW w:w="1559" w:type="dxa"/>
            <w:tcBorders>
              <w:top w:val="nil"/>
              <w:left w:val="nil"/>
              <w:bottom w:val="nil"/>
              <w:right w:val="nil"/>
            </w:tcBorders>
            <w:shd w:val="clear" w:color="auto" w:fill="47626F"/>
            <w:vAlign w:val="center"/>
            <w:hideMark/>
          </w:tcPr>
          <w:p w14:paraId="6C893F2A"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r w:rsidRPr="00B74738">
              <w:rPr>
                <w:rFonts w:ascii="Kohinoor Devanagari" w:eastAsia="Times New Roman" w:hAnsi="Kohinoor Devanagari" w:cs="Kohinoor Devanagari"/>
                <w:b/>
                <w:bCs/>
                <w:color w:val="FFFFFF" w:themeColor="background1"/>
                <w:kern w:val="0"/>
                <w:sz w:val="19"/>
                <w:szCs w:val="19"/>
                <w:lang w:eastAsia="fr-FR"/>
                <w14:ligatures w14:val="none"/>
              </w:rPr>
              <w:t>Ressources estimatives (Budget)</w:t>
            </w:r>
          </w:p>
        </w:tc>
        <w:tc>
          <w:tcPr>
            <w:tcW w:w="1417" w:type="dxa"/>
            <w:tcBorders>
              <w:top w:val="nil"/>
              <w:left w:val="nil"/>
              <w:bottom w:val="nil"/>
              <w:right w:val="nil"/>
            </w:tcBorders>
            <w:shd w:val="clear" w:color="auto" w:fill="47626F"/>
            <w:vAlign w:val="center"/>
            <w:hideMark/>
          </w:tcPr>
          <w:p w14:paraId="684920E5" w14:textId="77777777"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proofErr w:type="gramStart"/>
            <w:r w:rsidRPr="00B74738">
              <w:rPr>
                <w:rFonts w:ascii="Kohinoor Devanagari" w:eastAsia="Times New Roman" w:hAnsi="Kohinoor Devanagari" w:cs="Kohinoor Devanagari"/>
                <w:b/>
                <w:bCs/>
                <w:color w:val="FFFFFF" w:themeColor="background1"/>
                <w:kern w:val="0"/>
                <w:sz w:val="19"/>
                <w:szCs w:val="19"/>
                <w:lang w:eastAsia="fr-FR"/>
                <w14:ligatures w14:val="none"/>
              </w:rPr>
              <w:t>Risques potentiels</w:t>
            </w:r>
            <w:proofErr w:type="gramEnd"/>
          </w:p>
        </w:tc>
        <w:tc>
          <w:tcPr>
            <w:tcW w:w="851" w:type="dxa"/>
            <w:tcBorders>
              <w:top w:val="nil"/>
              <w:left w:val="nil"/>
              <w:bottom w:val="nil"/>
              <w:right w:val="nil"/>
            </w:tcBorders>
            <w:shd w:val="clear" w:color="auto" w:fill="47626F"/>
            <w:vAlign w:val="center"/>
            <w:hideMark/>
          </w:tcPr>
          <w:p w14:paraId="587FEE18" w14:textId="6AB96FF6" w:rsidR="00B74738" w:rsidRPr="00B74738" w:rsidRDefault="00B74738" w:rsidP="00B74738">
            <w:pPr>
              <w:spacing w:after="0" w:line="240" w:lineRule="auto"/>
              <w:jc w:val="center"/>
              <w:rPr>
                <w:rFonts w:ascii="Kohinoor Devanagari" w:eastAsia="Times New Roman" w:hAnsi="Kohinoor Devanagari" w:cs="Kohinoor Devanagari"/>
                <w:b/>
                <w:bCs/>
                <w:color w:val="FFFFFF" w:themeColor="background1"/>
                <w:kern w:val="0"/>
                <w:sz w:val="19"/>
                <w:szCs w:val="19"/>
                <w:lang w:eastAsia="fr-FR"/>
                <w14:ligatures w14:val="none"/>
              </w:rPr>
            </w:pPr>
            <w:proofErr w:type="spellStart"/>
            <w:r w:rsidRPr="00B74738">
              <w:rPr>
                <w:rFonts w:ascii="Kohinoor Devanagari" w:eastAsia="Times New Roman" w:hAnsi="Kohinoor Devanagari" w:cs="Kohinoor Devanagari"/>
                <w:b/>
                <w:bCs/>
                <w:color w:val="FFFFFF" w:themeColor="background1"/>
                <w:kern w:val="0"/>
                <w:sz w:val="19"/>
                <w:szCs w:val="19"/>
                <w:lang w:eastAsia="fr-FR"/>
                <w14:ligatures w14:val="none"/>
              </w:rPr>
              <w:t>Exig</w:t>
            </w:r>
            <w:proofErr w:type="spellEnd"/>
            <w:r w:rsidR="00AB03AE" w:rsidRPr="00CB4D41">
              <w:rPr>
                <w:rFonts w:ascii="Kohinoor Devanagari" w:eastAsia="Times New Roman" w:hAnsi="Kohinoor Devanagari" w:cs="Kohinoor Devanagari"/>
                <w:b/>
                <w:bCs/>
                <w:color w:val="FFFFFF" w:themeColor="background1"/>
                <w:kern w:val="0"/>
                <w:sz w:val="19"/>
                <w:szCs w:val="19"/>
                <w:lang w:eastAsia="fr-FR"/>
                <w14:ligatures w14:val="none"/>
              </w:rPr>
              <w:t>.</w:t>
            </w:r>
          </w:p>
        </w:tc>
      </w:tr>
      <w:tr w:rsidR="00157DE1" w:rsidRPr="00CB4D41" w14:paraId="77348F94"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66C172F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266511A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Registre des bénéficiaires effectifs</w:t>
            </w:r>
          </w:p>
        </w:tc>
        <w:tc>
          <w:tcPr>
            <w:tcW w:w="1985" w:type="dxa"/>
            <w:tcBorders>
              <w:top w:val="nil"/>
              <w:left w:val="nil"/>
              <w:bottom w:val="single" w:sz="8" w:space="0" w:color="61BC4D"/>
              <w:right w:val="single" w:sz="8" w:space="0" w:color="61BC4D"/>
            </w:tcBorders>
            <w:vAlign w:val="center"/>
            <w:hideMark/>
          </w:tcPr>
          <w:p w14:paraId="0E6300E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Registre BE non interconnecté, absence d'identification des PPE</w:t>
            </w:r>
          </w:p>
        </w:tc>
        <w:tc>
          <w:tcPr>
            <w:tcW w:w="2268" w:type="dxa"/>
            <w:tcBorders>
              <w:top w:val="nil"/>
              <w:left w:val="nil"/>
              <w:bottom w:val="single" w:sz="8" w:space="0" w:color="61BC4D"/>
              <w:right w:val="single" w:sz="8" w:space="0" w:color="61BC4D"/>
            </w:tcBorders>
            <w:vAlign w:val="center"/>
            <w:hideMark/>
          </w:tcPr>
          <w:p w14:paraId="07271BA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Compléter le registre avec PPE, interconnexion avec cadastre minier, RCCM et fiscalité</w:t>
            </w:r>
          </w:p>
        </w:tc>
        <w:tc>
          <w:tcPr>
            <w:tcW w:w="1560" w:type="dxa"/>
            <w:tcBorders>
              <w:top w:val="nil"/>
              <w:left w:val="nil"/>
              <w:bottom w:val="single" w:sz="8" w:space="0" w:color="61BC4D"/>
              <w:right w:val="single" w:sz="8" w:space="0" w:color="61BC4D"/>
            </w:tcBorders>
            <w:vAlign w:val="center"/>
            <w:hideMark/>
          </w:tcPr>
          <w:p w14:paraId="025BA45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 MINFI, MINMIDT</w:t>
            </w:r>
          </w:p>
        </w:tc>
        <w:tc>
          <w:tcPr>
            <w:tcW w:w="850" w:type="dxa"/>
            <w:tcBorders>
              <w:top w:val="nil"/>
              <w:left w:val="nil"/>
              <w:bottom w:val="single" w:sz="8" w:space="0" w:color="61BC4D"/>
              <w:right w:val="single" w:sz="8" w:space="0" w:color="61BC4D"/>
            </w:tcBorders>
            <w:vAlign w:val="center"/>
            <w:hideMark/>
          </w:tcPr>
          <w:p w14:paraId="10BB6D14"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01544DD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1A3B1D1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humaines et financières (ND)</w:t>
            </w:r>
          </w:p>
        </w:tc>
        <w:tc>
          <w:tcPr>
            <w:tcW w:w="1417" w:type="dxa"/>
            <w:tcBorders>
              <w:top w:val="nil"/>
              <w:left w:val="nil"/>
              <w:bottom w:val="single" w:sz="8" w:space="0" w:color="61BC4D"/>
              <w:right w:val="single" w:sz="8" w:space="0" w:color="61BC4D"/>
            </w:tcBorders>
            <w:vAlign w:val="center"/>
            <w:hideMark/>
          </w:tcPr>
          <w:p w14:paraId="68D7584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techniques et institutionnels</w:t>
            </w:r>
          </w:p>
        </w:tc>
        <w:tc>
          <w:tcPr>
            <w:tcW w:w="851" w:type="dxa"/>
            <w:tcBorders>
              <w:top w:val="nil"/>
              <w:left w:val="nil"/>
              <w:bottom w:val="single" w:sz="8" w:space="0" w:color="61BC4D"/>
              <w:right w:val="single" w:sz="8" w:space="0" w:color="61BC4D"/>
            </w:tcBorders>
            <w:vAlign w:val="center"/>
            <w:hideMark/>
          </w:tcPr>
          <w:p w14:paraId="2862F3E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2.5</w:t>
            </w:r>
          </w:p>
        </w:tc>
      </w:tr>
      <w:tr w:rsidR="00157DE1" w:rsidRPr="00CB4D41" w14:paraId="6A3DAE4F" w14:textId="77777777" w:rsidTr="00610F0B">
        <w:trPr>
          <w:trHeight w:val="780"/>
        </w:trPr>
        <w:tc>
          <w:tcPr>
            <w:tcW w:w="1134" w:type="dxa"/>
            <w:tcBorders>
              <w:top w:val="nil"/>
              <w:left w:val="nil"/>
              <w:bottom w:val="single" w:sz="8" w:space="0" w:color="61BC4D"/>
              <w:right w:val="single" w:sz="8" w:space="0" w:color="61BC4D"/>
            </w:tcBorders>
            <w:vAlign w:val="center"/>
            <w:hideMark/>
          </w:tcPr>
          <w:p w14:paraId="367521B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469B5A8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Désagrégation fiscale minière</w:t>
            </w:r>
          </w:p>
        </w:tc>
        <w:tc>
          <w:tcPr>
            <w:tcW w:w="1985" w:type="dxa"/>
            <w:tcBorders>
              <w:top w:val="nil"/>
              <w:left w:val="nil"/>
              <w:bottom w:val="single" w:sz="8" w:space="0" w:color="61BC4D"/>
              <w:right w:val="single" w:sz="8" w:space="0" w:color="61BC4D"/>
            </w:tcBorders>
            <w:vAlign w:val="center"/>
            <w:hideMark/>
          </w:tcPr>
          <w:p w14:paraId="50ED8A5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Déclarations fiscales globales (absence par projet)</w:t>
            </w:r>
          </w:p>
        </w:tc>
        <w:tc>
          <w:tcPr>
            <w:tcW w:w="2268" w:type="dxa"/>
            <w:tcBorders>
              <w:top w:val="nil"/>
              <w:left w:val="nil"/>
              <w:bottom w:val="single" w:sz="8" w:space="0" w:color="61BC4D"/>
              <w:right w:val="single" w:sz="8" w:space="0" w:color="61BC4D"/>
            </w:tcBorders>
            <w:vAlign w:val="center"/>
            <w:hideMark/>
          </w:tcPr>
          <w:p w14:paraId="43E22C5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Adapter progressivement les procédures pour une désagrégation fiscale par projet</w:t>
            </w:r>
          </w:p>
        </w:tc>
        <w:tc>
          <w:tcPr>
            <w:tcW w:w="1560" w:type="dxa"/>
            <w:tcBorders>
              <w:top w:val="nil"/>
              <w:left w:val="nil"/>
              <w:bottom w:val="single" w:sz="8" w:space="0" w:color="61BC4D"/>
              <w:right w:val="single" w:sz="8" w:space="0" w:color="61BC4D"/>
            </w:tcBorders>
            <w:vAlign w:val="center"/>
            <w:hideMark/>
          </w:tcPr>
          <w:p w14:paraId="56CCBB0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 MINFI</w:t>
            </w:r>
          </w:p>
        </w:tc>
        <w:tc>
          <w:tcPr>
            <w:tcW w:w="850" w:type="dxa"/>
            <w:tcBorders>
              <w:top w:val="nil"/>
              <w:left w:val="nil"/>
              <w:bottom w:val="single" w:sz="8" w:space="0" w:color="61BC4D"/>
              <w:right w:val="single" w:sz="8" w:space="0" w:color="61BC4D"/>
            </w:tcBorders>
            <w:vAlign w:val="center"/>
            <w:hideMark/>
          </w:tcPr>
          <w:p w14:paraId="07310F09"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18</w:t>
            </w:r>
          </w:p>
        </w:tc>
        <w:tc>
          <w:tcPr>
            <w:tcW w:w="992" w:type="dxa"/>
            <w:tcBorders>
              <w:top w:val="nil"/>
              <w:left w:val="nil"/>
              <w:bottom w:val="single" w:sz="8" w:space="0" w:color="61BC4D"/>
              <w:right w:val="single" w:sz="8" w:space="0" w:color="61BC4D"/>
            </w:tcBorders>
            <w:vAlign w:val="center"/>
            <w:hideMark/>
          </w:tcPr>
          <w:p w14:paraId="001A84E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1469EB2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assistance technique (ND)</w:t>
            </w:r>
          </w:p>
        </w:tc>
        <w:tc>
          <w:tcPr>
            <w:tcW w:w="1417" w:type="dxa"/>
            <w:tcBorders>
              <w:top w:val="nil"/>
              <w:left w:val="nil"/>
              <w:bottom w:val="single" w:sz="8" w:space="0" w:color="61BC4D"/>
              <w:right w:val="single" w:sz="8" w:space="0" w:color="61BC4D"/>
            </w:tcBorders>
            <w:vAlign w:val="center"/>
            <w:hideMark/>
          </w:tcPr>
          <w:p w14:paraId="3E6E674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Résistance au changement</w:t>
            </w:r>
          </w:p>
        </w:tc>
        <w:tc>
          <w:tcPr>
            <w:tcW w:w="851" w:type="dxa"/>
            <w:tcBorders>
              <w:top w:val="nil"/>
              <w:left w:val="nil"/>
              <w:bottom w:val="single" w:sz="8" w:space="0" w:color="61BC4D"/>
              <w:right w:val="single" w:sz="8" w:space="0" w:color="61BC4D"/>
            </w:tcBorders>
            <w:vAlign w:val="center"/>
            <w:hideMark/>
          </w:tcPr>
          <w:p w14:paraId="2C7D9EB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4.7</w:t>
            </w:r>
          </w:p>
        </w:tc>
      </w:tr>
      <w:tr w:rsidR="00157DE1" w:rsidRPr="00CB4D41" w14:paraId="5F75873C"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5B550DE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690229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Digitalisation des PME</w:t>
            </w:r>
          </w:p>
        </w:tc>
        <w:tc>
          <w:tcPr>
            <w:tcW w:w="1985" w:type="dxa"/>
            <w:tcBorders>
              <w:top w:val="nil"/>
              <w:left w:val="nil"/>
              <w:bottom w:val="single" w:sz="8" w:space="0" w:color="61BC4D"/>
              <w:right w:val="single" w:sz="8" w:space="0" w:color="61BC4D"/>
            </w:tcBorders>
            <w:vAlign w:val="center"/>
            <w:hideMark/>
          </w:tcPr>
          <w:p w14:paraId="130E99D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 digitalisation des données fiscales des PME extractives</w:t>
            </w:r>
          </w:p>
        </w:tc>
        <w:tc>
          <w:tcPr>
            <w:tcW w:w="2268" w:type="dxa"/>
            <w:tcBorders>
              <w:top w:val="nil"/>
              <w:left w:val="nil"/>
              <w:bottom w:val="single" w:sz="8" w:space="0" w:color="61BC4D"/>
              <w:right w:val="single" w:sz="8" w:space="0" w:color="61BC4D"/>
            </w:tcBorders>
            <w:vAlign w:val="center"/>
            <w:hideMark/>
          </w:tcPr>
          <w:p w14:paraId="323006C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Accélérer la digitalisation conformément à la feuille de route</w:t>
            </w:r>
          </w:p>
        </w:tc>
        <w:tc>
          <w:tcPr>
            <w:tcW w:w="1560" w:type="dxa"/>
            <w:tcBorders>
              <w:top w:val="nil"/>
              <w:left w:val="nil"/>
              <w:bottom w:val="single" w:sz="8" w:space="0" w:color="61BC4D"/>
              <w:right w:val="single" w:sz="8" w:space="0" w:color="61BC4D"/>
            </w:tcBorders>
            <w:vAlign w:val="center"/>
            <w:hideMark/>
          </w:tcPr>
          <w:p w14:paraId="777FB81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850" w:type="dxa"/>
            <w:tcBorders>
              <w:top w:val="nil"/>
              <w:left w:val="nil"/>
              <w:bottom w:val="single" w:sz="8" w:space="0" w:color="61BC4D"/>
              <w:right w:val="single" w:sz="8" w:space="0" w:color="61BC4D"/>
            </w:tcBorders>
            <w:vAlign w:val="center"/>
            <w:hideMark/>
          </w:tcPr>
          <w:p w14:paraId="79C5F0A4"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18</w:t>
            </w:r>
          </w:p>
        </w:tc>
        <w:tc>
          <w:tcPr>
            <w:tcW w:w="992" w:type="dxa"/>
            <w:tcBorders>
              <w:top w:val="nil"/>
              <w:left w:val="nil"/>
              <w:bottom w:val="single" w:sz="8" w:space="0" w:color="61BC4D"/>
              <w:right w:val="single" w:sz="8" w:space="0" w:color="61BC4D"/>
            </w:tcBorders>
            <w:vAlign w:val="center"/>
            <w:hideMark/>
          </w:tcPr>
          <w:p w14:paraId="39ADBCE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59342D4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Projet en cours (ND)</w:t>
            </w:r>
          </w:p>
        </w:tc>
        <w:tc>
          <w:tcPr>
            <w:tcW w:w="1417" w:type="dxa"/>
            <w:tcBorders>
              <w:top w:val="nil"/>
              <w:left w:val="nil"/>
              <w:bottom w:val="single" w:sz="8" w:space="0" w:color="61BC4D"/>
              <w:right w:val="single" w:sz="8" w:space="0" w:color="61BC4D"/>
            </w:tcBorders>
            <w:vAlign w:val="center"/>
            <w:hideMark/>
          </w:tcPr>
          <w:p w14:paraId="41BABED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Faibles capacités techniques des PME</w:t>
            </w:r>
          </w:p>
        </w:tc>
        <w:tc>
          <w:tcPr>
            <w:tcW w:w="851" w:type="dxa"/>
            <w:tcBorders>
              <w:top w:val="nil"/>
              <w:left w:val="nil"/>
              <w:bottom w:val="single" w:sz="8" w:space="0" w:color="61BC4D"/>
              <w:right w:val="single" w:sz="8" w:space="0" w:color="61BC4D"/>
            </w:tcBorders>
            <w:vAlign w:val="center"/>
            <w:hideMark/>
          </w:tcPr>
          <w:p w14:paraId="3437E5B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w:t>
            </w:r>
          </w:p>
        </w:tc>
      </w:tr>
      <w:tr w:rsidR="00157DE1" w:rsidRPr="00CB4D41" w14:paraId="238168FD"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3AD1E12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20B6DB7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États financiers digitalisés grandes entreprises</w:t>
            </w:r>
          </w:p>
        </w:tc>
        <w:tc>
          <w:tcPr>
            <w:tcW w:w="1985" w:type="dxa"/>
            <w:tcBorders>
              <w:top w:val="nil"/>
              <w:left w:val="nil"/>
              <w:bottom w:val="single" w:sz="8" w:space="0" w:color="61BC4D"/>
              <w:right w:val="single" w:sz="8" w:space="0" w:color="61BC4D"/>
            </w:tcBorders>
            <w:vAlign w:val="center"/>
            <w:hideMark/>
          </w:tcPr>
          <w:p w14:paraId="220E900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Sous-utilisation des états financiers disponibles digitalement</w:t>
            </w:r>
          </w:p>
        </w:tc>
        <w:tc>
          <w:tcPr>
            <w:tcW w:w="2268" w:type="dxa"/>
            <w:tcBorders>
              <w:top w:val="nil"/>
              <w:left w:val="nil"/>
              <w:bottom w:val="single" w:sz="8" w:space="0" w:color="61BC4D"/>
              <w:right w:val="single" w:sz="8" w:space="0" w:color="61BC4D"/>
            </w:tcBorders>
            <w:vAlign w:val="center"/>
            <w:hideMark/>
          </w:tcPr>
          <w:p w14:paraId="23B8BCB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Exploiter systématiquement ces données dans les rapports ITIE</w:t>
            </w:r>
          </w:p>
        </w:tc>
        <w:tc>
          <w:tcPr>
            <w:tcW w:w="1560" w:type="dxa"/>
            <w:tcBorders>
              <w:top w:val="nil"/>
              <w:left w:val="nil"/>
              <w:bottom w:val="single" w:sz="8" w:space="0" w:color="61BC4D"/>
              <w:right w:val="single" w:sz="8" w:space="0" w:color="61BC4D"/>
            </w:tcBorders>
            <w:vAlign w:val="center"/>
            <w:hideMark/>
          </w:tcPr>
          <w:p w14:paraId="012D176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 STP-ITIE</w:t>
            </w:r>
          </w:p>
        </w:tc>
        <w:tc>
          <w:tcPr>
            <w:tcW w:w="850" w:type="dxa"/>
            <w:tcBorders>
              <w:top w:val="nil"/>
              <w:left w:val="nil"/>
              <w:bottom w:val="single" w:sz="8" w:space="0" w:color="61BC4D"/>
              <w:right w:val="single" w:sz="8" w:space="0" w:color="61BC4D"/>
            </w:tcBorders>
            <w:vAlign w:val="center"/>
            <w:hideMark/>
          </w:tcPr>
          <w:p w14:paraId="39E73FC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7786971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015E9AC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formation analytique</w:t>
            </w:r>
          </w:p>
        </w:tc>
        <w:tc>
          <w:tcPr>
            <w:tcW w:w="1417" w:type="dxa"/>
            <w:tcBorders>
              <w:top w:val="nil"/>
              <w:left w:val="nil"/>
              <w:bottom w:val="single" w:sz="8" w:space="0" w:color="61BC4D"/>
              <w:right w:val="single" w:sz="8" w:space="0" w:color="61BC4D"/>
            </w:tcBorders>
            <w:vAlign w:val="center"/>
            <w:hideMark/>
          </w:tcPr>
          <w:p w14:paraId="2564AD4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Accès limité par restrictions internes</w:t>
            </w:r>
          </w:p>
        </w:tc>
        <w:tc>
          <w:tcPr>
            <w:tcW w:w="851" w:type="dxa"/>
            <w:tcBorders>
              <w:top w:val="nil"/>
              <w:left w:val="nil"/>
              <w:bottom w:val="single" w:sz="8" w:space="0" w:color="61BC4D"/>
              <w:right w:val="single" w:sz="8" w:space="0" w:color="61BC4D"/>
            </w:tcBorders>
            <w:vAlign w:val="center"/>
            <w:hideMark/>
          </w:tcPr>
          <w:p w14:paraId="2257F5E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4.9</w:t>
            </w:r>
          </w:p>
        </w:tc>
      </w:tr>
      <w:tr w:rsidR="00157DE1" w:rsidRPr="00CB4D41" w14:paraId="4EED4634"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36A5675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DGI</w:t>
            </w:r>
          </w:p>
        </w:tc>
        <w:tc>
          <w:tcPr>
            <w:tcW w:w="1560" w:type="dxa"/>
            <w:tcBorders>
              <w:top w:val="nil"/>
              <w:left w:val="nil"/>
              <w:bottom w:val="single" w:sz="8" w:space="0" w:color="61BC4D"/>
              <w:right w:val="single" w:sz="8" w:space="0" w:color="61BC4D"/>
            </w:tcBorders>
            <w:vAlign w:val="center"/>
            <w:hideMark/>
          </w:tcPr>
          <w:p w14:paraId="027B853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Interopérabilité partielle</w:t>
            </w:r>
          </w:p>
        </w:tc>
        <w:tc>
          <w:tcPr>
            <w:tcW w:w="1985" w:type="dxa"/>
            <w:tcBorders>
              <w:top w:val="nil"/>
              <w:left w:val="nil"/>
              <w:bottom w:val="single" w:sz="8" w:space="0" w:color="61BC4D"/>
              <w:right w:val="single" w:sz="8" w:space="0" w:color="61BC4D"/>
            </w:tcBorders>
            <w:vAlign w:val="center"/>
            <w:hideMark/>
          </w:tcPr>
          <w:p w14:paraId="57B234B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Connexion cadastre minier absente, existante seulement avec PATRIMOINE</w:t>
            </w:r>
          </w:p>
        </w:tc>
        <w:tc>
          <w:tcPr>
            <w:tcW w:w="2268" w:type="dxa"/>
            <w:tcBorders>
              <w:top w:val="nil"/>
              <w:left w:val="nil"/>
              <w:bottom w:val="single" w:sz="8" w:space="0" w:color="61BC4D"/>
              <w:right w:val="single" w:sz="8" w:space="0" w:color="61BC4D"/>
            </w:tcBorders>
            <w:vAlign w:val="center"/>
            <w:hideMark/>
          </w:tcPr>
          <w:p w14:paraId="6A9E4BD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Mettre en œuvre les interconnexions et intégrer identifiants uniques</w:t>
            </w:r>
          </w:p>
        </w:tc>
        <w:tc>
          <w:tcPr>
            <w:tcW w:w="1560" w:type="dxa"/>
            <w:tcBorders>
              <w:top w:val="nil"/>
              <w:left w:val="nil"/>
              <w:bottom w:val="single" w:sz="8" w:space="0" w:color="61BC4D"/>
              <w:right w:val="single" w:sz="8" w:space="0" w:color="61BC4D"/>
            </w:tcBorders>
            <w:vAlign w:val="center"/>
            <w:hideMark/>
          </w:tcPr>
          <w:p w14:paraId="55D080B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 MINMIDT, MINFI</w:t>
            </w:r>
          </w:p>
        </w:tc>
        <w:tc>
          <w:tcPr>
            <w:tcW w:w="850" w:type="dxa"/>
            <w:tcBorders>
              <w:top w:val="nil"/>
              <w:left w:val="nil"/>
              <w:bottom w:val="single" w:sz="8" w:space="0" w:color="61BC4D"/>
              <w:right w:val="single" w:sz="8" w:space="0" w:color="61BC4D"/>
            </w:tcBorders>
            <w:vAlign w:val="center"/>
            <w:hideMark/>
          </w:tcPr>
          <w:p w14:paraId="3AE81314"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7430AB1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0A21C1B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techniques internes et externes (ND)</w:t>
            </w:r>
          </w:p>
        </w:tc>
        <w:tc>
          <w:tcPr>
            <w:tcW w:w="1417" w:type="dxa"/>
            <w:tcBorders>
              <w:top w:val="nil"/>
              <w:left w:val="nil"/>
              <w:bottom w:val="single" w:sz="8" w:space="0" w:color="61BC4D"/>
              <w:right w:val="single" w:sz="8" w:space="0" w:color="61BC4D"/>
            </w:tcBorders>
            <w:vAlign w:val="center"/>
            <w:hideMark/>
          </w:tcPr>
          <w:p w14:paraId="4C107FD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Coordination interinstitutionnelle limitée</w:t>
            </w:r>
          </w:p>
        </w:tc>
        <w:tc>
          <w:tcPr>
            <w:tcW w:w="851" w:type="dxa"/>
            <w:tcBorders>
              <w:top w:val="nil"/>
              <w:left w:val="nil"/>
              <w:bottom w:val="single" w:sz="8" w:space="0" w:color="61BC4D"/>
              <w:right w:val="single" w:sz="8" w:space="0" w:color="61BC4D"/>
            </w:tcBorders>
            <w:vAlign w:val="center"/>
            <w:hideMark/>
          </w:tcPr>
          <w:p w14:paraId="30051B1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4.9/4.1</w:t>
            </w:r>
          </w:p>
        </w:tc>
      </w:tr>
      <w:tr w:rsidR="00157DE1" w:rsidRPr="00CB4D41" w14:paraId="5522AE0B"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7FAB149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61423E5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Base de données intégrée prévue pour 2027</w:t>
            </w:r>
          </w:p>
        </w:tc>
        <w:tc>
          <w:tcPr>
            <w:tcW w:w="1985" w:type="dxa"/>
            <w:tcBorders>
              <w:top w:val="nil"/>
              <w:left w:val="nil"/>
              <w:bottom w:val="single" w:sz="8" w:space="0" w:color="61BC4D"/>
              <w:right w:val="single" w:sz="8" w:space="0" w:color="61BC4D"/>
            </w:tcBorders>
            <w:vAlign w:val="center"/>
            <w:hideMark/>
          </w:tcPr>
          <w:p w14:paraId="455FA80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Exigences ITIE non intégrées au cahier de charges actuel</w:t>
            </w:r>
          </w:p>
        </w:tc>
        <w:tc>
          <w:tcPr>
            <w:tcW w:w="2268" w:type="dxa"/>
            <w:tcBorders>
              <w:top w:val="nil"/>
              <w:left w:val="nil"/>
              <w:bottom w:val="single" w:sz="8" w:space="0" w:color="61BC4D"/>
              <w:right w:val="single" w:sz="8" w:space="0" w:color="61BC4D"/>
            </w:tcBorders>
            <w:vAlign w:val="center"/>
            <w:hideMark/>
          </w:tcPr>
          <w:p w14:paraId="01BE663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Intégrer exigences ITIE dès la conception (désagrégation par projet)</w:t>
            </w:r>
          </w:p>
        </w:tc>
        <w:tc>
          <w:tcPr>
            <w:tcW w:w="1560" w:type="dxa"/>
            <w:tcBorders>
              <w:top w:val="nil"/>
              <w:left w:val="nil"/>
              <w:bottom w:val="single" w:sz="8" w:space="0" w:color="61BC4D"/>
              <w:right w:val="single" w:sz="8" w:space="0" w:color="61BC4D"/>
            </w:tcBorders>
            <w:vAlign w:val="center"/>
            <w:hideMark/>
          </w:tcPr>
          <w:p w14:paraId="0063487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850" w:type="dxa"/>
            <w:tcBorders>
              <w:top w:val="nil"/>
              <w:left w:val="nil"/>
              <w:bottom w:val="single" w:sz="8" w:space="0" w:color="61BC4D"/>
              <w:right w:val="single" w:sz="8" w:space="0" w:color="61BC4D"/>
            </w:tcBorders>
            <w:vAlign w:val="center"/>
            <w:hideMark/>
          </w:tcPr>
          <w:p w14:paraId="7BE078FD"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36</w:t>
            </w:r>
          </w:p>
        </w:tc>
        <w:tc>
          <w:tcPr>
            <w:tcW w:w="992" w:type="dxa"/>
            <w:tcBorders>
              <w:top w:val="nil"/>
              <w:left w:val="nil"/>
              <w:bottom w:val="single" w:sz="8" w:space="0" w:color="61BC4D"/>
              <w:right w:val="single" w:sz="8" w:space="0" w:color="61BC4D"/>
            </w:tcBorders>
            <w:vAlign w:val="center"/>
            <w:hideMark/>
          </w:tcPr>
          <w:p w14:paraId="6D8E7EB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0EA0D37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Assistance technique externe et IT (ND)</w:t>
            </w:r>
          </w:p>
        </w:tc>
        <w:tc>
          <w:tcPr>
            <w:tcW w:w="1417" w:type="dxa"/>
            <w:tcBorders>
              <w:top w:val="nil"/>
              <w:left w:val="nil"/>
              <w:bottom w:val="single" w:sz="8" w:space="0" w:color="61BC4D"/>
              <w:right w:val="single" w:sz="8" w:space="0" w:color="61BC4D"/>
            </w:tcBorders>
            <w:vAlign w:val="center"/>
            <w:hideMark/>
          </w:tcPr>
          <w:p w14:paraId="4ADDDFC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Délais prolongés dans le projet</w:t>
            </w:r>
          </w:p>
        </w:tc>
        <w:tc>
          <w:tcPr>
            <w:tcW w:w="851" w:type="dxa"/>
            <w:tcBorders>
              <w:top w:val="nil"/>
              <w:left w:val="nil"/>
              <w:bottom w:val="single" w:sz="8" w:space="0" w:color="61BC4D"/>
              <w:right w:val="single" w:sz="8" w:space="0" w:color="61BC4D"/>
            </w:tcBorders>
            <w:vAlign w:val="center"/>
            <w:hideMark/>
          </w:tcPr>
          <w:p w14:paraId="3CDF148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4.9/4.1</w:t>
            </w:r>
          </w:p>
        </w:tc>
      </w:tr>
      <w:tr w:rsidR="00157DE1" w:rsidRPr="00CB4D41" w14:paraId="7B6F16A4"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2E7BCEA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5EB3199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Audits de coûts non publiés</w:t>
            </w:r>
          </w:p>
        </w:tc>
        <w:tc>
          <w:tcPr>
            <w:tcW w:w="1985" w:type="dxa"/>
            <w:tcBorders>
              <w:top w:val="nil"/>
              <w:left w:val="nil"/>
              <w:bottom w:val="single" w:sz="8" w:space="0" w:color="61BC4D"/>
              <w:right w:val="single" w:sz="8" w:space="0" w:color="61BC4D"/>
            </w:tcBorders>
            <w:vAlign w:val="center"/>
            <w:hideMark/>
          </w:tcPr>
          <w:p w14:paraId="17EA39B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Rapports d’audits confidentiels</w:t>
            </w:r>
          </w:p>
        </w:tc>
        <w:tc>
          <w:tcPr>
            <w:tcW w:w="2268" w:type="dxa"/>
            <w:tcBorders>
              <w:top w:val="nil"/>
              <w:left w:val="nil"/>
              <w:bottom w:val="single" w:sz="8" w:space="0" w:color="61BC4D"/>
              <w:right w:val="single" w:sz="8" w:space="0" w:color="61BC4D"/>
            </w:tcBorders>
            <w:vAlign w:val="center"/>
            <w:hideMark/>
          </w:tcPr>
          <w:p w14:paraId="0FB4ABE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Identifier modalités de publication synthétique</w:t>
            </w:r>
          </w:p>
        </w:tc>
        <w:tc>
          <w:tcPr>
            <w:tcW w:w="1560" w:type="dxa"/>
            <w:tcBorders>
              <w:top w:val="nil"/>
              <w:left w:val="nil"/>
              <w:bottom w:val="single" w:sz="8" w:space="0" w:color="61BC4D"/>
              <w:right w:val="single" w:sz="8" w:space="0" w:color="61BC4D"/>
            </w:tcBorders>
            <w:vAlign w:val="center"/>
            <w:hideMark/>
          </w:tcPr>
          <w:p w14:paraId="2133538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 MINFI</w:t>
            </w:r>
          </w:p>
        </w:tc>
        <w:tc>
          <w:tcPr>
            <w:tcW w:w="850" w:type="dxa"/>
            <w:tcBorders>
              <w:top w:val="nil"/>
              <w:left w:val="nil"/>
              <w:bottom w:val="single" w:sz="8" w:space="0" w:color="61BC4D"/>
              <w:right w:val="single" w:sz="8" w:space="0" w:color="61BC4D"/>
            </w:tcBorders>
            <w:vAlign w:val="center"/>
            <w:hideMark/>
          </w:tcPr>
          <w:p w14:paraId="4918F62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5DA81D4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1577B78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juridique </w:t>
            </w:r>
          </w:p>
        </w:tc>
        <w:tc>
          <w:tcPr>
            <w:tcW w:w="1417" w:type="dxa"/>
            <w:tcBorders>
              <w:top w:val="nil"/>
              <w:left w:val="nil"/>
              <w:bottom w:val="single" w:sz="8" w:space="0" w:color="61BC4D"/>
              <w:right w:val="single" w:sz="8" w:space="0" w:color="61BC4D"/>
            </w:tcBorders>
            <w:vAlign w:val="center"/>
            <w:hideMark/>
          </w:tcPr>
          <w:p w14:paraId="2CC7CF1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Opposition des sociétés auditées</w:t>
            </w:r>
          </w:p>
        </w:tc>
        <w:tc>
          <w:tcPr>
            <w:tcW w:w="851" w:type="dxa"/>
            <w:tcBorders>
              <w:top w:val="nil"/>
              <w:left w:val="nil"/>
              <w:bottom w:val="single" w:sz="8" w:space="0" w:color="61BC4D"/>
              <w:right w:val="single" w:sz="8" w:space="0" w:color="61BC4D"/>
            </w:tcBorders>
            <w:vAlign w:val="center"/>
            <w:hideMark/>
          </w:tcPr>
          <w:p w14:paraId="08608F8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4.10</w:t>
            </w:r>
          </w:p>
        </w:tc>
      </w:tr>
      <w:tr w:rsidR="00157DE1" w:rsidRPr="00CB4D41" w14:paraId="3A08F692"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6FC4814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w:t>
            </w:r>
          </w:p>
        </w:tc>
        <w:tc>
          <w:tcPr>
            <w:tcW w:w="1560" w:type="dxa"/>
            <w:tcBorders>
              <w:top w:val="nil"/>
              <w:left w:val="nil"/>
              <w:bottom w:val="single" w:sz="8" w:space="0" w:color="61BC4D"/>
              <w:right w:val="single" w:sz="8" w:space="0" w:color="61BC4D"/>
            </w:tcBorders>
            <w:vAlign w:val="center"/>
            <w:hideMark/>
          </w:tcPr>
          <w:p w14:paraId="60A113D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Cadre juridique de divulgation</w:t>
            </w:r>
          </w:p>
        </w:tc>
        <w:tc>
          <w:tcPr>
            <w:tcW w:w="1985" w:type="dxa"/>
            <w:tcBorders>
              <w:top w:val="nil"/>
              <w:left w:val="nil"/>
              <w:bottom w:val="single" w:sz="8" w:space="0" w:color="61BC4D"/>
              <w:right w:val="single" w:sz="8" w:space="0" w:color="61BC4D"/>
            </w:tcBorders>
            <w:vAlign w:val="center"/>
            <w:hideMark/>
          </w:tcPr>
          <w:p w14:paraId="1E838A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Absence d’un cadre légal explicite de divulgation fiscale systématique</w:t>
            </w:r>
          </w:p>
        </w:tc>
        <w:tc>
          <w:tcPr>
            <w:tcW w:w="2268" w:type="dxa"/>
            <w:tcBorders>
              <w:top w:val="nil"/>
              <w:left w:val="nil"/>
              <w:bottom w:val="single" w:sz="8" w:space="0" w:color="61BC4D"/>
              <w:right w:val="single" w:sz="8" w:space="0" w:color="61BC4D"/>
            </w:tcBorders>
            <w:vAlign w:val="center"/>
            <w:hideMark/>
          </w:tcPr>
          <w:p w14:paraId="3774B1A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Préciser légalement les responsabilités et modalités de divulgation</w:t>
            </w:r>
          </w:p>
        </w:tc>
        <w:tc>
          <w:tcPr>
            <w:tcW w:w="1560" w:type="dxa"/>
            <w:tcBorders>
              <w:top w:val="nil"/>
              <w:left w:val="nil"/>
              <w:bottom w:val="single" w:sz="8" w:space="0" w:color="61BC4D"/>
              <w:right w:val="single" w:sz="8" w:space="0" w:color="61BC4D"/>
            </w:tcBorders>
            <w:vAlign w:val="center"/>
            <w:hideMark/>
          </w:tcPr>
          <w:p w14:paraId="12D06FE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DGI, MINFI, Parlement</w:t>
            </w:r>
          </w:p>
        </w:tc>
        <w:tc>
          <w:tcPr>
            <w:tcW w:w="850" w:type="dxa"/>
            <w:tcBorders>
              <w:top w:val="nil"/>
              <w:left w:val="nil"/>
              <w:bottom w:val="single" w:sz="8" w:space="0" w:color="61BC4D"/>
              <w:right w:val="single" w:sz="8" w:space="0" w:color="61BC4D"/>
            </w:tcBorders>
            <w:vAlign w:val="center"/>
            <w:hideMark/>
          </w:tcPr>
          <w:p w14:paraId="61617350"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7291BD1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5C0F42C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juridiques et législatives </w:t>
            </w:r>
          </w:p>
        </w:tc>
        <w:tc>
          <w:tcPr>
            <w:tcW w:w="1417" w:type="dxa"/>
            <w:tcBorders>
              <w:top w:val="nil"/>
              <w:left w:val="nil"/>
              <w:bottom w:val="single" w:sz="8" w:space="0" w:color="61BC4D"/>
              <w:right w:val="single" w:sz="8" w:space="0" w:color="61BC4D"/>
            </w:tcBorders>
            <w:vAlign w:val="center"/>
            <w:hideMark/>
          </w:tcPr>
          <w:p w14:paraId="508224E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Délais législatifs longs</w:t>
            </w:r>
          </w:p>
        </w:tc>
        <w:tc>
          <w:tcPr>
            <w:tcW w:w="851" w:type="dxa"/>
            <w:tcBorders>
              <w:top w:val="nil"/>
              <w:left w:val="nil"/>
              <w:bottom w:val="single" w:sz="8" w:space="0" w:color="61BC4D"/>
              <w:right w:val="single" w:sz="8" w:space="0" w:color="61BC4D"/>
            </w:tcBorders>
            <w:vAlign w:val="center"/>
            <w:hideMark/>
          </w:tcPr>
          <w:p w14:paraId="2BCEDD3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4.1, 4.9</w:t>
            </w:r>
          </w:p>
        </w:tc>
      </w:tr>
      <w:tr w:rsidR="00157DE1" w:rsidRPr="00CB4D41" w14:paraId="19B55BE5"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04E82159" w14:textId="5C2B0A2A"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585412C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Divulgation des revenus publics</w:t>
            </w:r>
          </w:p>
        </w:tc>
        <w:tc>
          <w:tcPr>
            <w:tcW w:w="1985" w:type="dxa"/>
            <w:tcBorders>
              <w:top w:val="nil"/>
              <w:left w:val="nil"/>
              <w:bottom w:val="single" w:sz="8" w:space="0" w:color="61BC4D"/>
              <w:right w:val="single" w:sz="8" w:space="0" w:color="61BC4D"/>
            </w:tcBorders>
            <w:vAlign w:val="center"/>
            <w:hideMark/>
          </w:tcPr>
          <w:p w14:paraId="2C61F02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Pas de désagrégation sectorielle claire des revenus extractifs</w:t>
            </w:r>
          </w:p>
        </w:tc>
        <w:tc>
          <w:tcPr>
            <w:tcW w:w="2268" w:type="dxa"/>
            <w:tcBorders>
              <w:top w:val="nil"/>
              <w:left w:val="nil"/>
              <w:bottom w:val="single" w:sz="8" w:space="0" w:color="61BC4D"/>
              <w:right w:val="single" w:sz="8" w:space="0" w:color="61BC4D"/>
            </w:tcBorders>
            <w:vAlign w:val="center"/>
            <w:hideMark/>
          </w:tcPr>
          <w:p w14:paraId="4447E6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Ajouter la désagrégation par secteur et entreprise dans les publications existantes</w:t>
            </w:r>
          </w:p>
        </w:tc>
        <w:tc>
          <w:tcPr>
            <w:tcW w:w="1560" w:type="dxa"/>
            <w:tcBorders>
              <w:top w:val="nil"/>
              <w:left w:val="nil"/>
              <w:bottom w:val="single" w:sz="8" w:space="0" w:color="61BC4D"/>
              <w:right w:val="single" w:sz="8" w:space="0" w:color="61BC4D"/>
            </w:tcBorders>
            <w:vAlign w:val="center"/>
            <w:hideMark/>
          </w:tcPr>
          <w:p w14:paraId="15723617" w14:textId="62599FA2"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r w:rsidR="00B74738" w:rsidRPr="00B74738">
              <w:rPr>
                <w:rFonts w:ascii="Kohinoor Devanagari" w:eastAsia="Times New Roman" w:hAnsi="Kohinoor Devanagari" w:cs="Kohinoor Devanagari"/>
                <w:color w:val="0D0D0D"/>
                <w:kern w:val="0"/>
                <w:sz w:val="19"/>
                <w:szCs w:val="19"/>
                <w:lang w:eastAsia="fr-FR"/>
                <w14:ligatures w14:val="none"/>
              </w:rPr>
              <w:t>, MINFI</w:t>
            </w:r>
          </w:p>
        </w:tc>
        <w:tc>
          <w:tcPr>
            <w:tcW w:w="850" w:type="dxa"/>
            <w:tcBorders>
              <w:top w:val="nil"/>
              <w:left w:val="nil"/>
              <w:bottom w:val="single" w:sz="8" w:space="0" w:color="61BC4D"/>
              <w:right w:val="single" w:sz="8" w:space="0" w:color="61BC4D"/>
            </w:tcBorders>
            <w:vAlign w:val="center"/>
            <w:hideMark/>
          </w:tcPr>
          <w:p w14:paraId="5991C1BB"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47C217A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7C12FB2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informatiques </w:t>
            </w:r>
          </w:p>
        </w:tc>
        <w:tc>
          <w:tcPr>
            <w:tcW w:w="1417" w:type="dxa"/>
            <w:tcBorders>
              <w:top w:val="nil"/>
              <w:left w:val="nil"/>
              <w:bottom w:val="single" w:sz="8" w:space="0" w:color="61BC4D"/>
              <w:right w:val="single" w:sz="8" w:space="0" w:color="61BC4D"/>
            </w:tcBorders>
            <w:vAlign w:val="center"/>
            <w:hideMark/>
          </w:tcPr>
          <w:p w14:paraId="7F3AB11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Opposition à la divulgation précise</w:t>
            </w:r>
          </w:p>
        </w:tc>
        <w:tc>
          <w:tcPr>
            <w:tcW w:w="851" w:type="dxa"/>
            <w:tcBorders>
              <w:top w:val="nil"/>
              <w:left w:val="nil"/>
              <w:bottom w:val="single" w:sz="8" w:space="0" w:color="61BC4D"/>
              <w:right w:val="single" w:sz="8" w:space="0" w:color="61BC4D"/>
            </w:tcBorders>
            <w:vAlign w:val="center"/>
            <w:hideMark/>
          </w:tcPr>
          <w:p w14:paraId="09A8544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4.1, 5.1</w:t>
            </w:r>
          </w:p>
        </w:tc>
      </w:tr>
      <w:tr w:rsidR="00157DE1" w:rsidRPr="00CB4D41" w14:paraId="63BDBF4B"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5D931397" w14:textId="7F5B4100"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6E6378E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Besoins techniques</w:t>
            </w:r>
          </w:p>
        </w:tc>
        <w:tc>
          <w:tcPr>
            <w:tcW w:w="1985" w:type="dxa"/>
            <w:tcBorders>
              <w:top w:val="nil"/>
              <w:left w:val="nil"/>
              <w:bottom w:val="single" w:sz="8" w:space="0" w:color="61BC4D"/>
              <w:right w:val="single" w:sz="8" w:space="0" w:color="61BC4D"/>
            </w:tcBorders>
            <w:vAlign w:val="center"/>
            <w:hideMark/>
          </w:tcPr>
          <w:p w14:paraId="7922D33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Module automatique d’extraction inexistant</w:t>
            </w:r>
          </w:p>
        </w:tc>
        <w:tc>
          <w:tcPr>
            <w:tcW w:w="2268" w:type="dxa"/>
            <w:tcBorders>
              <w:top w:val="nil"/>
              <w:left w:val="nil"/>
              <w:bottom w:val="single" w:sz="8" w:space="0" w:color="61BC4D"/>
              <w:right w:val="single" w:sz="8" w:space="0" w:color="61BC4D"/>
            </w:tcBorders>
            <w:vAlign w:val="center"/>
            <w:hideMark/>
          </w:tcPr>
          <w:p w14:paraId="480EE5B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Développer un module automatique de requêtage pour ITIE</w:t>
            </w:r>
          </w:p>
        </w:tc>
        <w:tc>
          <w:tcPr>
            <w:tcW w:w="1560" w:type="dxa"/>
            <w:tcBorders>
              <w:top w:val="nil"/>
              <w:left w:val="nil"/>
              <w:bottom w:val="single" w:sz="8" w:space="0" w:color="61BC4D"/>
              <w:right w:val="single" w:sz="8" w:space="0" w:color="61BC4D"/>
            </w:tcBorders>
            <w:vAlign w:val="center"/>
            <w:hideMark/>
          </w:tcPr>
          <w:p w14:paraId="7E905301" w14:textId="3BA9CC08"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r w:rsidR="00B74738" w:rsidRPr="00B74738">
              <w:rPr>
                <w:rFonts w:ascii="Kohinoor Devanagari" w:eastAsia="Times New Roman" w:hAnsi="Kohinoor Devanagari" w:cs="Kohinoor Devanagari"/>
                <w:color w:val="0D0D0D"/>
                <w:kern w:val="0"/>
                <w:sz w:val="19"/>
                <w:szCs w:val="19"/>
                <w:lang w:eastAsia="fr-FR"/>
                <w14:ligatures w14:val="none"/>
              </w:rPr>
              <w:t>, prestataire informatique</w:t>
            </w:r>
          </w:p>
        </w:tc>
        <w:tc>
          <w:tcPr>
            <w:tcW w:w="850" w:type="dxa"/>
            <w:tcBorders>
              <w:top w:val="nil"/>
              <w:left w:val="nil"/>
              <w:bottom w:val="single" w:sz="8" w:space="0" w:color="61BC4D"/>
              <w:right w:val="single" w:sz="8" w:space="0" w:color="61BC4D"/>
            </w:tcBorders>
            <w:vAlign w:val="center"/>
            <w:hideMark/>
          </w:tcPr>
          <w:p w14:paraId="01CD5B48"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3E338DD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5AD4F27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Développement informatique (75 M FCFA)</w:t>
            </w:r>
          </w:p>
        </w:tc>
        <w:tc>
          <w:tcPr>
            <w:tcW w:w="1417" w:type="dxa"/>
            <w:tcBorders>
              <w:top w:val="nil"/>
              <w:left w:val="nil"/>
              <w:bottom w:val="single" w:sz="8" w:space="0" w:color="61BC4D"/>
              <w:right w:val="single" w:sz="8" w:space="0" w:color="61BC4D"/>
            </w:tcBorders>
            <w:vAlign w:val="center"/>
            <w:hideMark/>
          </w:tcPr>
          <w:p w14:paraId="3666475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Dépendance au prestataire externe</w:t>
            </w:r>
          </w:p>
        </w:tc>
        <w:tc>
          <w:tcPr>
            <w:tcW w:w="851" w:type="dxa"/>
            <w:tcBorders>
              <w:top w:val="nil"/>
              <w:left w:val="nil"/>
              <w:bottom w:val="single" w:sz="8" w:space="0" w:color="61BC4D"/>
              <w:right w:val="single" w:sz="8" w:space="0" w:color="61BC4D"/>
            </w:tcBorders>
            <w:vAlign w:val="center"/>
            <w:hideMark/>
          </w:tcPr>
          <w:p w14:paraId="0CCB064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w:t>
            </w:r>
          </w:p>
        </w:tc>
      </w:tr>
      <w:tr w:rsidR="00157DE1" w:rsidRPr="00CB4D41" w14:paraId="03CFD598"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01607BBD" w14:textId="6C693F86"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lastRenderedPageBreak/>
              <w:t>DGTCFM</w:t>
            </w:r>
          </w:p>
        </w:tc>
        <w:tc>
          <w:tcPr>
            <w:tcW w:w="1560" w:type="dxa"/>
            <w:tcBorders>
              <w:top w:val="nil"/>
              <w:left w:val="nil"/>
              <w:bottom w:val="single" w:sz="8" w:space="0" w:color="61BC4D"/>
              <w:right w:val="single" w:sz="8" w:space="0" w:color="61BC4D"/>
            </w:tcBorders>
            <w:vAlign w:val="center"/>
            <w:hideMark/>
          </w:tcPr>
          <w:p w14:paraId="6D77ACD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Réconciliation interinstitutionnelle</w:t>
            </w:r>
          </w:p>
        </w:tc>
        <w:tc>
          <w:tcPr>
            <w:tcW w:w="1985" w:type="dxa"/>
            <w:tcBorders>
              <w:top w:val="nil"/>
              <w:left w:val="nil"/>
              <w:bottom w:val="single" w:sz="8" w:space="0" w:color="61BC4D"/>
              <w:right w:val="single" w:sz="8" w:space="0" w:color="61BC4D"/>
            </w:tcBorders>
            <w:vAlign w:val="center"/>
            <w:hideMark/>
          </w:tcPr>
          <w:p w14:paraId="232DBFB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Documentation insuffisante des flux consolidés pour ITIE</w:t>
            </w:r>
          </w:p>
        </w:tc>
        <w:tc>
          <w:tcPr>
            <w:tcW w:w="2268" w:type="dxa"/>
            <w:tcBorders>
              <w:top w:val="nil"/>
              <w:left w:val="nil"/>
              <w:bottom w:val="single" w:sz="8" w:space="0" w:color="61BC4D"/>
              <w:right w:val="single" w:sz="8" w:space="0" w:color="61BC4D"/>
            </w:tcBorders>
            <w:vAlign w:val="center"/>
            <w:hideMark/>
          </w:tcPr>
          <w:p w14:paraId="2D21BE1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Utiliser les comités existants pour systématiser documentation</w:t>
            </w:r>
          </w:p>
        </w:tc>
        <w:tc>
          <w:tcPr>
            <w:tcW w:w="1560" w:type="dxa"/>
            <w:tcBorders>
              <w:top w:val="nil"/>
              <w:left w:val="nil"/>
              <w:bottom w:val="single" w:sz="8" w:space="0" w:color="61BC4D"/>
              <w:right w:val="single" w:sz="8" w:space="0" w:color="61BC4D"/>
            </w:tcBorders>
            <w:vAlign w:val="center"/>
            <w:hideMark/>
          </w:tcPr>
          <w:p w14:paraId="0286E2BC" w14:textId="2EA19545"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val="en-US" w:eastAsia="fr-FR"/>
                <w14:ligatures w14:val="none"/>
              </w:rPr>
            </w:pPr>
            <w:r w:rsidRPr="00CB4D41">
              <w:rPr>
                <w:rFonts w:ascii="Kohinoor Devanagari" w:eastAsia="Times New Roman" w:hAnsi="Kohinoor Devanagari" w:cs="Kohinoor Devanagari"/>
                <w:color w:val="0D0D0D"/>
                <w:kern w:val="0"/>
                <w:sz w:val="19"/>
                <w:szCs w:val="19"/>
                <w:lang w:val="en-US" w:eastAsia="fr-FR"/>
                <w14:ligatures w14:val="none"/>
              </w:rPr>
              <w:t>DGTCFM</w:t>
            </w:r>
            <w:r w:rsidR="00B74738" w:rsidRPr="00B74738">
              <w:rPr>
                <w:rFonts w:ascii="Kohinoor Devanagari" w:eastAsia="Times New Roman" w:hAnsi="Kohinoor Devanagari" w:cs="Kohinoor Devanagari"/>
                <w:color w:val="0D0D0D"/>
                <w:kern w:val="0"/>
                <w:sz w:val="19"/>
                <w:szCs w:val="19"/>
                <w:lang w:val="en-US" w:eastAsia="fr-FR"/>
                <w14:ligatures w14:val="none"/>
              </w:rPr>
              <w:t>, DGI, DGD, STP-ITIE</w:t>
            </w:r>
          </w:p>
        </w:tc>
        <w:tc>
          <w:tcPr>
            <w:tcW w:w="850" w:type="dxa"/>
            <w:tcBorders>
              <w:top w:val="nil"/>
              <w:left w:val="nil"/>
              <w:bottom w:val="single" w:sz="8" w:space="0" w:color="61BC4D"/>
              <w:right w:val="single" w:sz="8" w:space="0" w:color="61BC4D"/>
            </w:tcBorders>
            <w:vAlign w:val="center"/>
            <w:hideMark/>
          </w:tcPr>
          <w:p w14:paraId="0BB5005F"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39DBE73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444254B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Coordination interne renforcée </w:t>
            </w:r>
          </w:p>
        </w:tc>
        <w:tc>
          <w:tcPr>
            <w:tcW w:w="1417" w:type="dxa"/>
            <w:tcBorders>
              <w:top w:val="nil"/>
              <w:left w:val="nil"/>
              <w:bottom w:val="single" w:sz="8" w:space="0" w:color="61BC4D"/>
              <w:right w:val="single" w:sz="8" w:space="0" w:color="61BC4D"/>
            </w:tcBorders>
            <w:vAlign w:val="center"/>
            <w:hideMark/>
          </w:tcPr>
          <w:p w14:paraId="3FB87A9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de coordination institutionnelle</w:t>
            </w:r>
          </w:p>
        </w:tc>
        <w:tc>
          <w:tcPr>
            <w:tcW w:w="851" w:type="dxa"/>
            <w:tcBorders>
              <w:top w:val="nil"/>
              <w:left w:val="nil"/>
              <w:bottom w:val="single" w:sz="8" w:space="0" w:color="61BC4D"/>
              <w:right w:val="single" w:sz="8" w:space="0" w:color="61BC4D"/>
            </w:tcBorders>
            <w:vAlign w:val="center"/>
            <w:hideMark/>
          </w:tcPr>
          <w:p w14:paraId="2344071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4.9</w:t>
            </w:r>
          </w:p>
        </w:tc>
      </w:tr>
      <w:tr w:rsidR="00157DE1" w:rsidRPr="00CB4D41" w14:paraId="31C61D71"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5741E775" w14:textId="732E4A65"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1659590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Revenus en nature SONAMINE</w:t>
            </w:r>
          </w:p>
        </w:tc>
        <w:tc>
          <w:tcPr>
            <w:tcW w:w="1985" w:type="dxa"/>
            <w:tcBorders>
              <w:top w:val="nil"/>
              <w:left w:val="nil"/>
              <w:bottom w:val="single" w:sz="8" w:space="0" w:color="61BC4D"/>
              <w:right w:val="single" w:sz="8" w:space="0" w:color="61BC4D"/>
            </w:tcBorders>
            <w:vAlign w:val="center"/>
            <w:hideMark/>
          </w:tcPr>
          <w:p w14:paraId="7CB9667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Délais de comptabilisation budgétaire liés à l’affinage</w:t>
            </w:r>
          </w:p>
        </w:tc>
        <w:tc>
          <w:tcPr>
            <w:tcW w:w="2268" w:type="dxa"/>
            <w:tcBorders>
              <w:top w:val="nil"/>
              <w:left w:val="nil"/>
              <w:bottom w:val="single" w:sz="8" w:space="0" w:color="61BC4D"/>
              <w:right w:val="single" w:sz="8" w:space="0" w:color="61BC4D"/>
            </w:tcBorders>
            <w:vAlign w:val="center"/>
            <w:hideMark/>
          </w:tcPr>
          <w:p w14:paraId="6F9CC5E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Publier mensuellement les volumes réceptionnés via la comptabilité matière</w:t>
            </w:r>
          </w:p>
        </w:tc>
        <w:tc>
          <w:tcPr>
            <w:tcW w:w="1560" w:type="dxa"/>
            <w:tcBorders>
              <w:top w:val="nil"/>
              <w:left w:val="nil"/>
              <w:bottom w:val="single" w:sz="8" w:space="0" w:color="61BC4D"/>
              <w:right w:val="single" w:sz="8" w:space="0" w:color="61BC4D"/>
            </w:tcBorders>
            <w:vAlign w:val="center"/>
            <w:hideMark/>
          </w:tcPr>
          <w:p w14:paraId="6C615E06" w14:textId="72008749"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r w:rsidR="00B74738" w:rsidRPr="00B74738">
              <w:rPr>
                <w:rFonts w:ascii="Kohinoor Devanagari" w:eastAsia="Times New Roman" w:hAnsi="Kohinoor Devanagari" w:cs="Kohinoor Devanagari"/>
                <w:color w:val="0D0D0D"/>
                <w:kern w:val="0"/>
                <w:sz w:val="19"/>
                <w:szCs w:val="19"/>
                <w:lang w:eastAsia="fr-FR"/>
                <w14:ligatures w14:val="none"/>
              </w:rPr>
              <w:t>, SONAMINE</w:t>
            </w:r>
          </w:p>
        </w:tc>
        <w:tc>
          <w:tcPr>
            <w:tcW w:w="850" w:type="dxa"/>
            <w:tcBorders>
              <w:top w:val="nil"/>
              <w:left w:val="nil"/>
              <w:bottom w:val="single" w:sz="8" w:space="0" w:color="61BC4D"/>
              <w:right w:val="single" w:sz="8" w:space="0" w:color="61BC4D"/>
            </w:tcBorders>
            <w:vAlign w:val="center"/>
            <w:hideMark/>
          </w:tcPr>
          <w:p w14:paraId="6E60F90C"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193F3EB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2A55C7F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suivi technique</w:t>
            </w:r>
          </w:p>
        </w:tc>
        <w:tc>
          <w:tcPr>
            <w:tcW w:w="1417" w:type="dxa"/>
            <w:tcBorders>
              <w:top w:val="nil"/>
              <w:left w:val="nil"/>
              <w:bottom w:val="single" w:sz="8" w:space="0" w:color="61BC4D"/>
              <w:right w:val="single" w:sz="8" w:space="0" w:color="61BC4D"/>
            </w:tcBorders>
            <w:vAlign w:val="center"/>
            <w:hideMark/>
          </w:tcPr>
          <w:p w14:paraId="37E57E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liés aux délais d’affinage</w:t>
            </w:r>
          </w:p>
        </w:tc>
        <w:tc>
          <w:tcPr>
            <w:tcW w:w="851" w:type="dxa"/>
            <w:tcBorders>
              <w:top w:val="nil"/>
              <w:left w:val="nil"/>
              <w:bottom w:val="single" w:sz="8" w:space="0" w:color="61BC4D"/>
              <w:right w:val="single" w:sz="8" w:space="0" w:color="61BC4D"/>
            </w:tcBorders>
            <w:vAlign w:val="center"/>
            <w:hideMark/>
          </w:tcPr>
          <w:p w14:paraId="7A44859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4.2</w:t>
            </w:r>
          </w:p>
        </w:tc>
      </w:tr>
      <w:tr w:rsidR="00157DE1" w:rsidRPr="00CB4D41" w14:paraId="302307F8"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18645065" w14:textId="1D707279"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5B6CEC1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sur les participations</w:t>
            </w:r>
          </w:p>
        </w:tc>
        <w:tc>
          <w:tcPr>
            <w:tcW w:w="1985" w:type="dxa"/>
            <w:tcBorders>
              <w:top w:val="nil"/>
              <w:left w:val="nil"/>
              <w:bottom w:val="single" w:sz="8" w:space="0" w:color="61BC4D"/>
              <w:right w:val="single" w:sz="8" w:space="0" w:color="61BC4D"/>
            </w:tcBorders>
            <w:vAlign w:val="center"/>
            <w:hideMark/>
          </w:tcPr>
          <w:p w14:paraId="7CA9E71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Publication retardée à la loi de règlement</w:t>
            </w:r>
          </w:p>
        </w:tc>
        <w:tc>
          <w:tcPr>
            <w:tcW w:w="2268" w:type="dxa"/>
            <w:tcBorders>
              <w:top w:val="nil"/>
              <w:left w:val="nil"/>
              <w:bottom w:val="single" w:sz="8" w:space="0" w:color="61BC4D"/>
              <w:right w:val="single" w:sz="8" w:space="0" w:color="61BC4D"/>
            </w:tcBorders>
            <w:vAlign w:val="center"/>
            <w:hideMark/>
          </w:tcPr>
          <w:p w14:paraId="1D12B10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Pré-divulgation technique avant publication officielle</w:t>
            </w:r>
          </w:p>
        </w:tc>
        <w:tc>
          <w:tcPr>
            <w:tcW w:w="1560" w:type="dxa"/>
            <w:tcBorders>
              <w:top w:val="nil"/>
              <w:left w:val="nil"/>
              <w:bottom w:val="single" w:sz="8" w:space="0" w:color="61BC4D"/>
              <w:right w:val="single" w:sz="8" w:space="0" w:color="61BC4D"/>
            </w:tcBorders>
            <w:vAlign w:val="center"/>
            <w:hideMark/>
          </w:tcPr>
          <w:p w14:paraId="711D1275" w14:textId="3C254BAC"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r w:rsidR="00B74738" w:rsidRPr="00B74738">
              <w:rPr>
                <w:rFonts w:ascii="Kohinoor Devanagari" w:eastAsia="Times New Roman" w:hAnsi="Kohinoor Devanagari" w:cs="Kohinoor Devanagari"/>
                <w:color w:val="0D0D0D"/>
                <w:kern w:val="0"/>
                <w:sz w:val="19"/>
                <w:szCs w:val="19"/>
                <w:lang w:eastAsia="fr-FR"/>
                <w14:ligatures w14:val="none"/>
              </w:rPr>
              <w:t>, MINFI</w:t>
            </w:r>
          </w:p>
        </w:tc>
        <w:tc>
          <w:tcPr>
            <w:tcW w:w="850" w:type="dxa"/>
            <w:tcBorders>
              <w:top w:val="nil"/>
              <w:left w:val="nil"/>
              <w:bottom w:val="single" w:sz="8" w:space="0" w:color="61BC4D"/>
              <w:right w:val="single" w:sz="8" w:space="0" w:color="61BC4D"/>
            </w:tcBorders>
            <w:vAlign w:val="center"/>
            <w:hideMark/>
          </w:tcPr>
          <w:p w14:paraId="0359FAF5"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2DFD449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83C7E6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IT</w:t>
            </w:r>
          </w:p>
        </w:tc>
        <w:tc>
          <w:tcPr>
            <w:tcW w:w="1417" w:type="dxa"/>
            <w:tcBorders>
              <w:top w:val="nil"/>
              <w:left w:val="nil"/>
              <w:bottom w:val="single" w:sz="8" w:space="0" w:color="61BC4D"/>
              <w:right w:val="single" w:sz="8" w:space="0" w:color="61BC4D"/>
            </w:tcBorders>
            <w:vAlign w:val="center"/>
            <w:hideMark/>
          </w:tcPr>
          <w:p w14:paraId="73C984A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Risque d’imprécision temporaire</w:t>
            </w:r>
          </w:p>
        </w:tc>
        <w:tc>
          <w:tcPr>
            <w:tcW w:w="851" w:type="dxa"/>
            <w:tcBorders>
              <w:top w:val="nil"/>
              <w:left w:val="nil"/>
              <w:bottom w:val="single" w:sz="8" w:space="0" w:color="61BC4D"/>
              <w:right w:val="single" w:sz="8" w:space="0" w:color="61BC4D"/>
            </w:tcBorders>
            <w:vAlign w:val="center"/>
            <w:hideMark/>
          </w:tcPr>
          <w:p w14:paraId="14F257E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2.6</w:t>
            </w:r>
          </w:p>
        </w:tc>
      </w:tr>
      <w:tr w:rsidR="00157DE1" w:rsidRPr="00CB4D41" w14:paraId="01F43947"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4AF580C5" w14:textId="6A8E0490"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4759F0F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Transferts infranationaux</w:t>
            </w:r>
          </w:p>
        </w:tc>
        <w:tc>
          <w:tcPr>
            <w:tcW w:w="1985" w:type="dxa"/>
            <w:tcBorders>
              <w:top w:val="nil"/>
              <w:left w:val="nil"/>
              <w:bottom w:val="single" w:sz="8" w:space="0" w:color="61BC4D"/>
              <w:right w:val="single" w:sz="8" w:space="0" w:color="61BC4D"/>
            </w:tcBorders>
            <w:vAlign w:val="center"/>
            <w:hideMark/>
          </w:tcPr>
          <w:p w14:paraId="607D0C3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Sous-exploitation des données sur les transferts vers les communes</w:t>
            </w:r>
          </w:p>
        </w:tc>
        <w:tc>
          <w:tcPr>
            <w:tcW w:w="2268" w:type="dxa"/>
            <w:tcBorders>
              <w:top w:val="nil"/>
              <w:left w:val="nil"/>
              <w:bottom w:val="single" w:sz="8" w:space="0" w:color="61BC4D"/>
              <w:right w:val="single" w:sz="8" w:space="0" w:color="61BC4D"/>
            </w:tcBorders>
            <w:vAlign w:val="center"/>
            <w:hideMark/>
          </w:tcPr>
          <w:p w14:paraId="384987F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Développer tableau de bord dédié</w:t>
            </w:r>
          </w:p>
        </w:tc>
        <w:tc>
          <w:tcPr>
            <w:tcW w:w="1560" w:type="dxa"/>
            <w:tcBorders>
              <w:top w:val="nil"/>
              <w:left w:val="nil"/>
              <w:bottom w:val="single" w:sz="8" w:space="0" w:color="61BC4D"/>
              <w:right w:val="single" w:sz="8" w:space="0" w:color="61BC4D"/>
            </w:tcBorders>
            <w:vAlign w:val="center"/>
            <w:hideMark/>
          </w:tcPr>
          <w:p w14:paraId="77F12813" w14:textId="15D010A1"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r w:rsidR="00B74738" w:rsidRPr="00B74738">
              <w:rPr>
                <w:rFonts w:ascii="Kohinoor Devanagari" w:eastAsia="Times New Roman" w:hAnsi="Kohinoor Devanagari" w:cs="Kohinoor Devanagari"/>
                <w:color w:val="0D0D0D"/>
                <w:kern w:val="0"/>
                <w:sz w:val="19"/>
                <w:szCs w:val="19"/>
                <w:lang w:eastAsia="fr-FR"/>
                <w14:ligatures w14:val="none"/>
              </w:rPr>
              <w:t>, MINFI, Collectivités locales</w:t>
            </w:r>
          </w:p>
        </w:tc>
        <w:tc>
          <w:tcPr>
            <w:tcW w:w="850" w:type="dxa"/>
            <w:tcBorders>
              <w:top w:val="nil"/>
              <w:left w:val="nil"/>
              <w:bottom w:val="single" w:sz="8" w:space="0" w:color="61BC4D"/>
              <w:right w:val="single" w:sz="8" w:space="0" w:color="61BC4D"/>
            </w:tcBorders>
            <w:vAlign w:val="center"/>
            <w:hideMark/>
          </w:tcPr>
          <w:p w14:paraId="799B66F2"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59C9507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1B20DD7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Informatique et formation</w:t>
            </w:r>
          </w:p>
        </w:tc>
        <w:tc>
          <w:tcPr>
            <w:tcW w:w="1417" w:type="dxa"/>
            <w:tcBorders>
              <w:top w:val="nil"/>
              <w:left w:val="nil"/>
              <w:bottom w:val="single" w:sz="8" w:space="0" w:color="61BC4D"/>
              <w:right w:val="single" w:sz="8" w:space="0" w:color="61BC4D"/>
            </w:tcBorders>
            <w:vAlign w:val="center"/>
            <w:hideMark/>
          </w:tcPr>
          <w:p w14:paraId="56DDF2B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Difficultés techniques et de gouvernance locale</w:t>
            </w:r>
          </w:p>
        </w:tc>
        <w:tc>
          <w:tcPr>
            <w:tcW w:w="851" w:type="dxa"/>
            <w:tcBorders>
              <w:top w:val="nil"/>
              <w:left w:val="nil"/>
              <w:bottom w:val="single" w:sz="8" w:space="0" w:color="61BC4D"/>
              <w:right w:val="single" w:sz="8" w:space="0" w:color="61BC4D"/>
            </w:tcBorders>
            <w:vAlign w:val="center"/>
            <w:hideMark/>
          </w:tcPr>
          <w:p w14:paraId="1BB4CB9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5.2</w:t>
            </w:r>
          </w:p>
        </w:tc>
      </w:tr>
      <w:tr w:rsidR="00157DE1" w:rsidRPr="00CB4D41" w14:paraId="406CBD4C"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11461A35" w14:textId="1DA62EA9"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49682CB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Interventions directes SNH</w:t>
            </w:r>
          </w:p>
        </w:tc>
        <w:tc>
          <w:tcPr>
            <w:tcW w:w="1985" w:type="dxa"/>
            <w:tcBorders>
              <w:top w:val="nil"/>
              <w:left w:val="nil"/>
              <w:bottom w:val="single" w:sz="8" w:space="0" w:color="61BC4D"/>
              <w:right w:val="single" w:sz="8" w:space="0" w:color="61BC4D"/>
            </w:tcBorders>
            <w:vAlign w:val="center"/>
            <w:hideMark/>
          </w:tcPr>
          <w:p w14:paraId="3C8726B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Divulgation partielle et agrégée, manque de détails</w:t>
            </w:r>
          </w:p>
        </w:tc>
        <w:tc>
          <w:tcPr>
            <w:tcW w:w="2268" w:type="dxa"/>
            <w:tcBorders>
              <w:top w:val="nil"/>
              <w:left w:val="nil"/>
              <w:bottom w:val="single" w:sz="8" w:space="0" w:color="61BC4D"/>
              <w:right w:val="single" w:sz="8" w:space="0" w:color="61BC4D"/>
            </w:tcBorders>
            <w:vAlign w:val="center"/>
            <w:hideMark/>
          </w:tcPr>
          <w:p w14:paraId="27E51E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Formaliser un cadre systématique de divulgation, différencier transferts directs et indirects</w:t>
            </w:r>
          </w:p>
        </w:tc>
        <w:tc>
          <w:tcPr>
            <w:tcW w:w="1560" w:type="dxa"/>
            <w:tcBorders>
              <w:top w:val="nil"/>
              <w:left w:val="nil"/>
              <w:bottom w:val="single" w:sz="8" w:space="0" w:color="61BC4D"/>
              <w:right w:val="single" w:sz="8" w:space="0" w:color="61BC4D"/>
            </w:tcBorders>
            <w:vAlign w:val="center"/>
            <w:hideMark/>
          </w:tcPr>
          <w:p w14:paraId="1BE18D19" w14:textId="67F0760F"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r w:rsidR="00B74738" w:rsidRPr="00B74738">
              <w:rPr>
                <w:rFonts w:ascii="Kohinoor Devanagari" w:eastAsia="Times New Roman" w:hAnsi="Kohinoor Devanagari" w:cs="Kohinoor Devanagari"/>
                <w:color w:val="0D0D0D"/>
                <w:kern w:val="0"/>
                <w:sz w:val="19"/>
                <w:szCs w:val="19"/>
                <w:lang w:eastAsia="fr-FR"/>
                <w14:ligatures w14:val="none"/>
              </w:rPr>
              <w:t>, SNH, MINFI</w:t>
            </w:r>
          </w:p>
        </w:tc>
        <w:tc>
          <w:tcPr>
            <w:tcW w:w="850" w:type="dxa"/>
            <w:tcBorders>
              <w:top w:val="nil"/>
              <w:left w:val="nil"/>
              <w:bottom w:val="single" w:sz="8" w:space="0" w:color="61BC4D"/>
              <w:right w:val="single" w:sz="8" w:space="0" w:color="61BC4D"/>
            </w:tcBorders>
            <w:vAlign w:val="center"/>
            <w:hideMark/>
          </w:tcPr>
          <w:p w14:paraId="36EEC7BB"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01712E0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DFE5A0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Juridique et technique</w:t>
            </w:r>
          </w:p>
        </w:tc>
        <w:tc>
          <w:tcPr>
            <w:tcW w:w="1417" w:type="dxa"/>
            <w:tcBorders>
              <w:top w:val="nil"/>
              <w:left w:val="nil"/>
              <w:bottom w:val="single" w:sz="8" w:space="0" w:color="61BC4D"/>
              <w:right w:val="single" w:sz="8" w:space="0" w:color="61BC4D"/>
            </w:tcBorders>
            <w:vAlign w:val="center"/>
            <w:hideMark/>
          </w:tcPr>
          <w:p w14:paraId="51D119A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Sensibilité politique et sécuritaire</w:t>
            </w:r>
          </w:p>
        </w:tc>
        <w:tc>
          <w:tcPr>
            <w:tcW w:w="851" w:type="dxa"/>
            <w:tcBorders>
              <w:top w:val="nil"/>
              <w:left w:val="nil"/>
              <w:bottom w:val="single" w:sz="8" w:space="0" w:color="61BC4D"/>
              <w:right w:val="single" w:sz="8" w:space="0" w:color="61BC4D"/>
            </w:tcBorders>
            <w:vAlign w:val="center"/>
            <w:hideMark/>
          </w:tcPr>
          <w:p w14:paraId="5DD145B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6.2</w:t>
            </w:r>
          </w:p>
        </w:tc>
      </w:tr>
      <w:tr w:rsidR="00157DE1" w:rsidRPr="00CB4D41" w14:paraId="6D0DB039"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26A6E673" w14:textId="5D314127"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t>DGTCFM</w:t>
            </w:r>
          </w:p>
        </w:tc>
        <w:tc>
          <w:tcPr>
            <w:tcW w:w="1560" w:type="dxa"/>
            <w:tcBorders>
              <w:top w:val="nil"/>
              <w:left w:val="nil"/>
              <w:bottom w:val="single" w:sz="8" w:space="0" w:color="61BC4D"/>
              <w:right w:val="single" w:sz="8" w:space="0" w:color="61BC4D"/>
            </w:tcBorders>
            <w:vAlign w:val="center"/>
            <w:hideMark/>
          </w:tcPr>
          <w:p w14:paraId="6BE39B7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Désagrégation par projet</w:t>
            </w:r>
          </w:p>
        </w:tc>
        <w:tc>
          <w:tcPr>
            <w:tcW w:w="1985" w:type="dxa"/>
            <w:tcBorders>
              <w:top w:val="nil"/>
              <w:left w:val="nil"/>
              <w:bottom w:val="single" w:sz="8" w:space="0" w:color="61BC4D"/>
              <w:right w:val="single" w:sz="8" w:space="0" w:color="61BC4D"/>
            </w:tcBorders>
            <w:vAlign w:val="center"/>
            <w:hideMark/>
          </w:tcPr>
          <w:p w14:paraId="15CF642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 désagrégation des flux par projet</w:t>
            </w:r>
          </w:p>
        </w:tc>
        <w:tc>
          <w:tcPr>
            <w:tcW w:w="2268" w:type="dxa"/>
            <w:tcBorders>
              <w:top w:val="nil"/>
              <w:left w:val="nil"/>
              <w:bottom w:val="single" w:sz="8" w:space="0" w:color="61BC4D"/>
              <w:right w:val="single" w:sz="8" w:space="0" w:color="61BC4D"/>
            </w:tcBorders>
            <w:vAlign w:val="center"/>
            <w:hideMark/>
          </w:tcPr>
          <w:p w14:paraId="504293E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Ajouter identifiant projet dans </w:t>
            </w:r>
            <w:r w:rsidRPr="00B74738">
              <w:rPr>
                <w:rFonts w:ascii="Kohinoor Devanagari" w:eastAsia="Times New Roman" w:hAnsi="Kohinoor Devanagari" w:cs="Kohinoor Devanagari"/>
                <w:color w:val="0D0D0D"/>
                <w:kern w:val="0"/>
                <w:sz w:val="19"/>
                <w:szCs w:val="19"/>
                <w:lang w:eastAsia="fr-FR"/>
                <w14:ligatures w14:val="none"/>
              </w:rPr>
              <w:lastRenderedPageBreak/>
              <w:t>PATRIMONIE, filtres de recherche dédiés</w:t>
            </w:r>
          </w:p>
        </w:tc>
        <w:tc>
          <w:tcPr>
            <w:tcW w:w="1560" w:type="dxa"/>
            <w:tcBorders>
              <w:top w:val="nil"/>
              <w:left w:val="nil"/>
              <w:bottom w:val="single" w:sz="8" w:space="0" w:color="61BC4D"/>
              <w:right w:val="single" w:sz="8" w:space="0" w:color="61BC4D"/>
            </w:tcBorders>
            <w:vAlign w:val="center"/>
            <w:hideMark/>
          </w:tcPr>
          <w:p w14:paraId="25319775" w14:textId="414E35FB" w:rsidR="00B74738" w:rsidRPr="00B74738" w:rsidRDefault="00DC2933"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CB4D41">
              <w:rPr>
                <w:rFonts w:ascii="Kohinoor Devanagari" w:eastAsia="Times New Roman" w:hAnsi="Kohinoor Devanagari" w:cs="Kohinoor Devanagari"/>
                <w:color w:val="0D0D0D"/>
                <w:kern w:val="0"/>
                <w:sz w:val="19"/>
                <w:szCs w:val="19"/>
                <w:lang w:eastAsia="fr-FR"/>
                <w14:ligatures w14:val="none"/>
              </w:rPr>
              <w:lastRenderedPageBreak/>
              <w:t>DGTCFM</w:t>
            </w:r>
            <w:r w:rsidR="00B74738" w:rsidRPr="00B74738">
              <w:rPr>
                <w:rFonts w:ascii="Kohinoor Devanagari" w:eastAsia="Times New Roman" w:hAnsi="Kohinoor Devanagari" w:cs="Kohinoor Devanagari"/>
                <w:color w:val="0D0D0D"/>
                <w:kern w:val="0"/>
                <w:sz w:val="19"/>
                <w:szCs w:val="19"/>
                <w:lang w:eastAsia="fr-FR"/>
                <w14:ligatures w14:val="none"/>
              </w:rPr>
              <w:t>, DGI, MINMIDT</w:t>
            </w:r>
          </w:p>
        </w:tc>
        <w:tc>
          <w:tcPr>
            <w:tcW w:w="850" w:type="dxa"/>
            <w:tcBorders>
              <w:top w:val="nil"/>
              <w:left w:val="nil"/>
              <w:bottom w:val="single" w:sz="8" w:space="0" w:color="61BC4D"/>
              <w:right w:val="single" w:sz="8" w:space="0" w:color="61BC4D"/>
            </w:tcBorders>
            <w:vAlign w:val="center"/>
            <w:hideMark/>
          </w:tcPr>
          <w:p w14:paraId="7A8C2B5B"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18</w:t>
            </w:r>
          </w:p>
        </w:tc>
        <w:tc>
          <w:tcPr>
            <w:tcW w:w="992" w:type="dxa"/>
            <w:tcBorders>
              <w:top w:val="nil"/>
              <w:left w:val="nil"/>
              <w:bottom w:val="single" w:sz="8" w:space="0" w:color="61BC4D"/>
              <w:right w:val="single" w:sz="8" w:space="0" w:color="61BC4D"/>
            </w:tcBorders>
            <w:vAlign w:val="center"/>
            <w:hideMark/>
          </w:tcPr>
          <w:p w14:paraId="6E6849A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31DF695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IT (25 M FCFA)</w:t>
            </w:r>
          </w:p>
        </w:tc>
        <w:tc>
          <w:tcPr>
            <w:tcW w:w="1417" w:type="dxa"/>
            <w:tcBorders>
              <w:top w:val="nil"/>
              <w:left w:val="nil"/>
              <w:bottom w:val="single" w:sz="8" w:space="0" w:color="61BC4D"/>
              <w:right w:val="single" w:sz="8" w:space="0" w:color="61BC4D"/>
            </w:tcBorders>
            <w:vAlign w:val="center"/>
            <w:hideMark/>
          </w:tcPr>
          <w:p w14:paraId="62D9BD7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Difficulté de coordination </w:t>
            </w:r>
            <w:r w:rsidRPr="00B74738">
              <w:rPr>
                <w:rFonts w:ascii="Kohinoor Devanagari" w:eastAsia="Times New Roman" w:hAnsi="Kohinoor Devanagari" w:cs="Kohinoor Devanagari"/>
                <w:color w:val="0D0D0D"/>
                <w:kern w:val="0"/>
                <w:sz w:val="19"/>
                <w:szCs w:val="19"/>
                <w:lang w:eastAsia="fr-FR"/>
                <w14:ligatures w14:val="none"/>
              </w:rPr>
              <w:lastRenderedPageBreak/>
              <w:t>interinstitutionnelle</w:t>
            </w:r>
          </w:p>
        </w:tc>
        <w:tc>
          <w:tcPr>
            <w:tcW w:w="851" w:type="dxa"/>
            <w:tcBorders>
              <w:top w:val="nil"/>
              <w:left w:val="nil"/>
              <w:bottom w:val="single" w:sz="8" w:space="0" w:color="61BC4D"/>
              <w:right w:val="single" w:sz="8" w:space="0" w:color="61BC4D"/>
            </w:tcBorders>
            <w:vAlign w:val="center"/>
            <w:hideMark/>
          </w:tcPr>
          <w:p w14:paraId="564696A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4.7</w:t>
            </w:r>
          </w:p>
        </w:tc>
      </w:tr>
      <w:tr w:rsidR="00157DE1" w:rsidRPr="00CB4D41" w14:paraId="2AE7AA2D"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412E5FB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du Cadastre Minier</w:t>
            </w:r>
          </w:p>
        </w:tc>
        <w:tc>
          <w:tcPr>
            <w:tcW w:w="1560" w:type="dxa"/>
            <w:tcBorders>
              <w:top w:val="nil"/>
              <w:left w:val="nil"/>
              <w:bottom w:val="single" w:sz="8" w:space="0" w:color="61BC4D"/>
              <w:right w:val="single" w:sz="8" w:space="0" w:color="61BC4D"/>
            </w:tcBorders>
            <w:vAlign w:val="center"/>
            <w:hideMark/>
          </w:tcPr>
          <w:p w14:paraId="2B1A9D4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Exhaustivité du système cadastral minier</w:t>
            </w:r>
          </w:p>
        </w:tc>
        <w:tc>
          <w:tcPr>
            <w:tcW w:w="1985" w:type="dxa"/>
            <w:tcBorders>
              <w:top w:val="nil"/>
              <w:left w:val="nil"/>
              <w:bottom w:val="single" w:sz="8" w:space="0" w:color="61BC4D"/>
              <w:right w:val="single" w:sz="8" w:space="0" w:color="61BC4D"/>
            </w:tcBorders>
            <w:vAlign w:val="center"/>
            <w:hideMark/>
          </w:tcPr>
          <w:p w14:paraId="370FEC8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Certains titres (autorisations artisanales, eaux minérales) et conventions minières absents du système.</w:t>
            </w:r>
          </w:p>
        </w:tc>
        <w:tc>
          <w:tcPr>
            <w:tcW w:w="2268" w:type="dxa"/>
            <w:tcBorders>
              <w:top w:val="nil"/>
              <w:left w:val="nil"/>
              <w:bottom w:val="single" w:sz="8" w:space="0" w:color="61BC4D"/>
              <w:right w:val="single" w:sz="8" w:space="0" w:color="61BC4D"/>
            </w:tcBorders>
            <w:vAlign w:val="center"/>
            <w:hideMark/>
          </w:tcPr>
          <w:p w14:paraId="78F0F08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Intégrer les autorisations artisanales et titres d'eau minérale ; activer le téléchargement des conventions minières ; étendre l'accès du portail public.</w:t>
            </w:r>
          </w:p>
        </w:tc>
        <w:tc>
          <w:tcPr>
            <w:tcW w:w="1560" w:type="dxa"/>
            <w:tcBorders>
              <w:top w:val="nil"/>
              <w:left w:val="nil"/>
              <w:bottom w:val="single" w:sz="8" w:space="0" w:color="61BC4D"/>
              <w:right w:val="single" w:sz="8" w:space="0" w:color="61BC4D"/>
            </w:tcBorders>
            <w:vAlign w:val="center"/>
            <w:hideMark/>
          </w:tcPr>
          <w:p w14:paraId="4E4902F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Cadastre Minier, MINMIDT, communes</w:t>
            </w:r>
          </w:p>
        </w:tc>
        <w:tc>
          <w:tcPr>
            <w:tcW w:w="850" w:type="dxa"/>
            <w:tcBorders>
              <w:top w:val="nil"/>
              <w:left w:val="nil"/>
              <w:bottom w:val="single" w:sz="8" w:space="0" w:color="61BC4D"/>
              <w:right w:val="single" w:sz="8" w:space="0" w:color="61BC4D"/>
            </w:tcBorders>
            <w:vAlign w:val="center"/>
            <w:hideMark/>
          </w:tcPr>
          <w:p w14:paraId="6203FBAC"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9</w:t>
            </w:r>
          </w:p>
        </w:tc>
        <w:tc>
          <w:tcPr>
            <w:tcW w:w="992" w:type="dxa"/>
            <w:tcBorders>
              <w:top w:val="nil"/>
              <w:left w:val="nil"/>
              <w:bottom w:val="single" w:sz="8" w:space="0" w:color="61BC4D"/>
              <w:right w:val="single" w:sz="8" w:space="0" w:color="61BC4D"/>
            </w:tcBorders>
            <w:vAlign w:val="center"/>
            <w:hideMark/>
          </w:tcPr>
          <w:p w14:paraId="4DDAE0E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0F3F66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développement logiciel, numérisation, formation (ND)</w:t>
            </w:r>
          </w:p>
        </w:tc>
        <w:tc>
          <w:tcPr>
            <w:tcW w:w="1417" w:type="dxa"/>
            <w:tcBorders>
              <w:top w:val="nil"/>
              <w:left w:val="nil"/>
              <w:bottom w:val="single" w:sz="8" w:space="0" w:color="61BC4D"/>
              <w:right w:val="single" w:sz="8" w:space="0" w:color="61BC4D"/>
            </w:tcBorders>
            <w:vAlign w:val="center"/>
            <w:hideMark/>
          </w:tcPr>
          <w:p w14:paraId="0A41D05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 coopération des communes ; résistance institutionnelle.</w:t>
            </w:r>
          </w:p>
        </w:tc>
        <w:tc>
          <w:tcPr>
            <w:tcW w:w="851" w:type="dxa"/>
            <w:tcBorders>
              <w:top w:val="nil"/>
              <w:left w:val="nil"/>
              <w:bottom w:val="single" w:sz="8" w:space="0" w:color="61BC4D"/>
              <w:right w:val="single" w:sz="8" w:space="0" w:color="61BC4D"/>
            </w:tcBorders>
            <w:vAlign w:val="center"/>
            <w:hideMark/>
          </w:tcPr>
          <w:p w14:paraId="19E2BFE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2.2, 2.3</w:t>
            </w:r>
          </w:p>
        </w:tc>
      </w:tr>
      <w:tr w:rsidR="00157DE1" w:rsidRPr="00CB4D41" w14:paraId="2D3882FA" w14:textId="77777777" w:rsidTr="00610F0B">
        <w:trPr>
          <w:trHeight w:val="2090"/>
        </w:trPr>
        <w:tc>
          <w:tcPr>
            <w:tcW w:w="1134" w:type="dxa"/>
            <w:tcBorders>
              <w:top w:val="nil"/>
              <w:left w:val="nil"/>
              <w:bottom w:val="single" w:sz="8" w:space="0" w:color="61BC4D"/>
              <w:right w:val="single" w:sz="8" w:space="0" w:color="61BC4D"/>
            </w:tcBorders>
            <w:vAlign w:val="center"/>
            <w:hideMark/>
          </w:tcPr>
          <w:p w14:paraId="147843D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du Cadastre Minier</w:t>
            </w:r>
          </w:p>
        </w:tc>
        <w:tc>
          <w:tcPr>
            <w:tcW w:w="1560" w:type="dxa"/>
            <w:tcBorders>
              <w:top w:val="nil"/>
              <w:left w:val="nil"/>
              <w:bottom w:val="single" w:sz="8" w:space="0" w:color="61BC4D"/>
              <w:right w:val="single" w:sz="8" w:space="0" w:color="61BC4D"/>
            </w:tcBorders>
            <w:vAlign w:val="center"/>
            <w:hideMark/>
          </w:tcPr>
          <w:p w14:paraId="64D01BA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Limitations techniques du cadastre minier</w:t>
            </w:r>
          </w:p>
        </w:tc>
        <w:tc>
          <w:tcPr>
            <w:tcW w:w="1985" w:type="dxa"/>
            <w:tcBorders>
              <w:top w:val="nil"/>
              <w:left w:val="nil"/>
              <w:bottom w:val="single" w:sz="8" w:space="0" w:color="61BC4D"/>
              <w:right w:val="single" w:sz="8" w:space="0" w:color="61BC4D"/>
            </w:tcBorders>
            <w:vAlign w:val="center"/>
            <w:hideMark/>
          </w:tcPr>
          <w:p w14:paraId="1EC1892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Pas d’extraction automatisée des données, absence d’identifiant fiscal unique, absence de champs pour la propriété réelle/actionnariale.</w:t>
            </w:r>
          </w:p>
        </w:tc>
        <w:tc>
          <w:tcPr>
            <w:tcW w:w="2268" w:type="dxa"/>
            <w:tcBorders>
              <w:top w:val="nil"/>
              <w:left w:val="nil"/>
              <w:bottom w:val="single" w:sz="8" w:space="0" w:color="61BC4D"/>
              <w:right w:val="single" w:sz="8" w:space="0" w:color="61BC4D"/>
            </w:tcBorders>
            <w:vAlign w:val="center"/>
            <w:hideMark/>
          </w:tcPr>
          <w:p w14:paraId="01B7221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Développer des fonctions d’extraction automatique, intégrer l’identifiant fiscal unique et des modules dédiés aux bénéficiaires effectifs ; activer le téléchargement des PV d’évaluation technique et financière.</w:t>
            </w:r>
            <w:r w:rsidRPr="00B74738">
              <w:rPr>
                <w:rFonts w:ascii="Kohinoor Devanagari" w:eastAsia="Times New Roman" w:hAnsi="Kohinoor Devanagari" w:cs="Kohinoor Devanagari"/>
                <w:color w:val="0D0D0D"/>
                <w:kern w:val="0"/>
                <w:sz w:val="19"/>
                <w:szCs w:val="19"/>
                <w:lang w:eastAsia="fr-FR"/>
                <w14:ligatures w14:val="none"/>
              </w:rPr>
              <w:br/>
              <w:t xml:space="preserve">Améliorer l’interface utilisateur et créer une fonction </w:t>
            </w:r>
            <w:r w:rsidRPr="00B74738">
              <w:rPr>
                <w:rFonts w:ascii="Kohinoor Devanagari" w:eastAsia="Times New Roman" w:hAnsi="Kohinoor Devanagari" w:cs="Kohinoor Devanagari"/>
                <w:color w:val="0D0D0D"/>
                <w:kern w:val="0"/>
                <w:sz w:val="19"/>
                <w:szCs w:val="19"/>
                <w:lang w:eastAsia="fr-FR"/>
                <w14:ligatures w14:val="none"/>
              </w:rPr>
              <w:lastRenderedPageBreak/>
              <w:t>d’extraction/exportation des données (Excel, CSV, JSON).</w:t>
            </w:r>
          </w:p>
        </w:tc>
        <w:tc>
          <w:tcPr>
            <w:tcW w:w="1560" w:type="dxa"/>
            <w:tcBorders>
              <w:top w:val="nil"/>
              <w:left w:val="nil"/>
              <w:bottom w:val="single" w:sz="8" w:space="0" w:color="61BC4D"/>
              <w:right w:val="single" w:sz="8" w:space="0" w:color="61BC4D"/>
            </w:tcBorders>
            <w:vAlign w:val="center"/>
            <w:hideMark/>
          </w:tcPr>
          <w:p w14:paraId="69A48BE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Sous-Direction Cadastre Minier, MINMIDT, DGI, prestataire informatique</w:t>
            </w:r>
          </w:p>
        </w:tc>
        <w:tc>
          <w:tcPr>
            <w:tcW w:w="850" w:type="dxa"/>
            <w:tcBorders>
              <w:top w:val="nil"/>
              <w:left w:val="nil"/>
              <w:bottom w:val="single" w:sz="8" w:space="0" w:color="61BC4D"/>
              <w:right w:val="single" w:sz="8" w:space="0" w:color="61BC4D"/>
            </w:tcBorders>
            <w:vAlign w:val="center"/>
            <w:hideMark/>
          </w:tcPr>
          <w:p w14:paraId="6898D153"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49A33F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16D7908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 prestataire IT, mise à niveau du système (ND)</w:t>
            </w:r>
          </w:p>
        </w:tc>
        <w:tc>
          <w:tcPr>
            <w:tcW w:w="1417" w:type="dxa"/>
            <w:tcBorders>
              <w:top w:val="nil"/>
              <w:left w:val="nil"/>
              <w:bottom w:val="single" w:sz="8" w:space="0" w:color="61BC4D"/>
              <w:right w:val="single" w:sz="8" w:space="0" w:color="61BC4D"/>
            </w:tcBorders>
            <w:vAlign w:val="center"/>
            <w:hideMark/>
          </w:tcPr>
          <w:p w14:paraId="66D1794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Dépendance technique externe, contraintes budgétaires, difficulté interinstitutionnelle.</w:t>
            </w:r>
          </w:p>
        </w:tc>
        <w:tc>
          <w:tcPr>
            <w:tcW w:w="851" w:type="dxa"/>
            <w:tcBorders>
              <w:top w:val="nil"/>
              <w:left w:val="nil"/>
              <w:bottom w:val="single" w:sz="8" w:space="0" w:color="61BC4D"/>
              <w:right w:val="single" w:sz="8" w:space="0" w:color="61BC4D"/>
            </w:tcBorders>
            <w:vAlign w:val="center"/>
            <w:hideMark/>
          </w:tcPr>
          <w:p w14:paraId="0D2706B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2.5, 2.3, 4.7</w:t>
            </w:r>
          </w:p>
        </w:tc>
      </w:tr>
      <w:tr w:rsidR="00157DE1" w:rsidRPr="00CB4D41" w14:paraId="55B0867C" w14:textId="77777777" w:rsidTr="00610F0B">
        <w:trPr>
          <w:trHeight w:val="1050"/>
        </w:trPr>
        <w:tc>
          <w:tcPr>
            <w:tcW w:w="1134" w:type="dxa"/>
            <w:tcBorders>
              <w:top w:val="nil"/>
              <w:left w:val="nil"/>
              <w:bottom w:val="single" w:sz="8" w:space="0" w:color="61BC4D"/>
              <w:right w:val="single" w:sz="8" w:space="0" w:color="61BC4D"/>
            </w:tcBorders>
            <w:vAlign w:val="center"/>
            <w:hideMark/>
          </w:tcPr>
          <w:p w14:paraId="6C05800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du Cadastre Minier</w:t>
            </w:r>
          </w:p>
        </w:tc>
        <w:tc>
          <w:tcPr>
            <w:tcW w:w="1560" w:type="dxa"/>
            <w:tcBorders>
              <w:top w:val="nil"/>
              <w:left w:val="nil"/>
              <w:bottom w:val="single" w:sz="8" w:space="0" w:color="61BC4D"/>
              <w:right w:val="single" w:sz="8" w:space="0" w:color="61BC4D"/>
            </w:tcBorders>
            <w:vAlign w:val="center"/>
            <w:hideMark/>
          </w:tcPr>
          <w:p w14:paraId="2A0D196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Coordination institutionnelle pour mise à jour des données cadastrales</w:t>
            </w:r>
          </w:p>
        </w:tc>
        <w:tc>
          <w:tcPr>
            <w:tcW w:w="1985" w:type="dxa"/>
            <w:tcBorders>
              <w:top w:val="nil"/>
              <w:left w:val="nil"/>
              <w:bottom w:val="single" w:sz="8" w:space="0" w:color="61BC4D"/>
              <w:right w:val="single" w:sz="8" w:space="0" w:color="61BC4D"/>
            </w:tcBorders>
            <w:vAlign w:val="center"/>
            <w:hideMark/>
          </w:tcPr>
          <w:p w14:paraId="5395741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ou absence de transmission systématique des actes d’octroi ou renouvellement par les entités concernées (Présidence, MINMIDT).</w:t>
            </w:r>
          </w:p>
        </w:tc>
        <w:tc>
          <w:tcPr>
            <w:tcW w:w="2268" w:type="dxa"/>
            <w:tcBorders>
              <w:top w:val="nil"/>
              <w:left w:val="nil"/>
              <w:bottom w:val="single" w:sz="8" w:space="0" w:color="61BC4D"/>
              <w:right w:val="single" w:sz="8" w:space="0" w:color="61BC4D"/>
            </w:tcBorders>
            <w:vAlign w:val="center"/>
            <w:hideMark/>
          </w:tcPr>
          <w:p w14:paraId="27937C1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Formaliser un protocole interinstitutionnel clair pour la transmission rapide et systématique des actes administratifs au cadastre minier.</w:t>
            </w:r>
          </w:p>
        </w:tc>
        <w:tc>
          <w:tcPr>
            <w:tcW w:w="1560" w:type="dxa"/>
            <w:tcBorders>
              <w:top w:val="nil"/>
              <w:left w:val="nil"/>
              <w:bottom w:val="single" w:sz="8" w:space="0" w:color="61BC4D"/>
              <w:right w:val="single" w:sz="8" w:space="0" w:color="61BC4D"/>
            </w:tcBorders>
            <w:vAlign w:val="center"/>
            <w:hideMark/>
          </w:tcPr>
          <w:p w14:paraId="600D0B4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Cadastre Minier, MINMIDT, Présidence</w:t>
            </w:r>
          </w:p>
        </w:tc>
        <w:tc>
          <w:tcPr>
            <w:tcW w:w="850" w:type="dxa"/>
            <w:tcBorders>
              <w:top w:val="nil"/>
              <w:left w:val="nil"/>
              <w:bottom w:val="single" w:sz="8" w:space="0" w:color="61BC4D"/>
              <w:right w:val="single" w:sz="8" w:space="0" w:color="61BC4D"/>
            </w:tcBorders>
            <w:vAlign w:val="center"/>
            <w:hideMark/>
          </w:tcPr>
          <w:p w14:paraId="6F7652BF"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29514CD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2EFCC94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(juridique, administratif) </w:t>
            </w:r>
          </w:p>
        </w:tc>
        <w:tc>
          <w:tcPr>
            <w:tcW w:w="1417" w:type="dxa"/>
            <w:tcBorders>
              <w:top w:val="nil"/>
              <w:left w:val="nil"/>
              <w:bottom w:val="single" w:sz="8" w:space="0" w:color="61BC4D"/>
              <w:right w:val="single" w:sz="8" w:space="0" w:color="61BC4D"/>
            </w:tcBorders>
            <w:vAlign w:val="center"/>
            <w:hideMark/>
          </w:tcPr>
          <w:p w14:paraId="32C1F94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de coopération des entités concernées, lenteurs administratives.</w:t>
            </w:r>
          </w:p>
        </w:tc>
        <w:tc>
          <w:tcPr>
            <w:tcW w:w="851" w:type="dxa"/>
            <w:tcBorders>
              <w:top w:val="nil"/>
              <w:left w:val="nil"/>
              <w:bottom w:val="single" w:sz="8" w:space="0" w:color="61BC4D"/>
              <w:right w:val="single" w:sz="8" w:space="0" w:color="61BC4D"/>
            </w:tcBorders>
            <w:vAlign w:val="center"/>
            <w:hideMark/>
          </w:tcPr>
          <w:p w14:paraId="56855F9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2.2, 2.3, 4.7</w:t>
            </w:r>
          </w:p>
        </w:tc>
      </w:tr>
      <w:tr w:rsidR="00157DE1" w:rsidRPr="00CB4D41" w14:paraId="52843FE6" w14:textId="77777777" w:rsidTr="00610F0B">
        <w:trPr>
          <w:trHeight w:val="1050"/>
        </w:trPr>
        <w:tc>
          <w:tcPr>
            <w:tcW w:w="1134" w:type="dxa"/>
            <w:tcBorders>
              <w:top w:val="nil"/>
              <w:left w:val="nil"/>
              <w:bottom w:val="single" w:sz="8" w:space="0" w:color="61BC4D"/>
              <w:right w:val="single" w:sz="8" w:space="0" w:color="61BC4D"/>
            </w:tcBorders>
            <w:vAlign w:val="center"/>
            <w:hideMark/>
          </w:tcPr>
          <w:p w14:paraId="7024151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du Cadastre Minier</w:t>
            </w:r>
          </w:p>
        </w:tc>
        <w:tc>
          <w:tcPr>
            <w:tcW w:w="1560" w:type="dxa"/>
            <w:tcBorders>
              <w:top w:val="nil"/>
              <w:left w:val="nil"/>
              <w:bottom w:val="single" w:sz="8" w:space="0" w:color="61BC4D"/>
              <w:right w:val="single" w:sz="8" w:space="0" w:color="61BC4D"/>
            </w:tcBorders>
            <w:vAlign w:val="center"/>
            <w:hideMark/>
          </w:tcPr>
          <w:p w14:paraId="334A0F9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Évaluation technique et financière des demandes de titres miniers</w:t>
            </w:r>
          </w:p>
        </w:tc>
        <w:tc>
          <w:tcPr>
            <w:tcW w:w="1985" w:type="dxa"/>
            <w:tcBorders>
              <w:top w:val="nil"/>
              <w:left w:val="nil"/>
              <w:bottom w:val="single" w:sz="8" w:space="0" w:color="61BC4D"/>
              <w:right w:val="single" w:sz="8" w:space="0" w:color="61BC4D"/>
            </w:tcBorders>
            <w:vAlign w:val="center"/>
            <w:hideMark/>
          </w:tcPr>
          <w:p w14:paraId="3B44CDA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d’intégration des critères techniques et financiers définis par le décret de 2024, PV non publiés.</w:t>
            </w:r>
          </w:p>
        </w:tc>
        <w:tc>
          <w:tcPr>
            <w:tcW w:w="2268" w:type="dxa"/>
            <w:tcBorders>
              <w:top w:val="nil"/>
              <w:left w:val="nil"/>
              <w:bottom w:val="single" w:sz="8" w:space="0" w:color="61BC4D"/>
              <w:right w:val="single" w:sz="8" w:space="0" w:color="61BC4D"/>
            </w:tcBorders>
            <w:vAlign w:val="center"/>
            <w:hideMark/>
          </w:tcPr>
          <w:p w14:paraId="59914EB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Intégrer systématiquement les critères techniques et financiers dans </w:t>
            </w:r>
            <w:proofErr w:type="spellStart"/>
            <w:r w:rsidRPr="00B74738">
              <w:rPr>
                <w:rFonts w:ascii="Kohinoor Devanagari" w:eastAsia="Times New Roman" w:hAnsi="Kohinoor Devanagari" w:cs="Kohinoor Devanagari"/>
                <w:color w:val="0D0D0D"/>
                <w:kern w:val="0"/>
                <w:sz w:val="19"/>
                <w:szCs w:val="19"/>
                <w:lang w:eastAsia="fr-FR"/>
                <w14:ligatures w14:val="none"/>
              </w:rPr>
              <w:t>FlexiCadastre</w:t>
            </w:r>
            <w:proofErr w:type="spellEnd"/>
            <w:r w:rsidRPr="00B74738">
              <w:rPr>
                <w:rFonts w:ascii="Kohinoor Devanagari" w:eastAsia="Times New Roman" w:hAnsi="Kohinoor Devanagari" w:cs="Kohinoor Devanagari"/>
                <w:color w:val="0D0D0D"/>
                <w:kern w:val="0"/>
                <w:sz w:val="19"/>
                <w:szCs w:val="19"/>
                <w:lang w:eastAsia="fr-FR"/>
                <w14:ligatures w14:val="none"/>
              </w:rPr>
              <w:t xml:space="preserve"> ; publier les PV d’évaluation.</w:t>
            </w:r>
          </w:p>
        </w:tc>
        <w:tc>
          <w:tcPr>
            <w:tcW w:w="1560" w:type="dxa"/>
            <w:tcBorders>
              <w:top w:val="nil"/>
              <w:left w:val="nil"/>
              <w:bottom w:val="single" w:sz="8" w:space="0" w:color="61BC4D"/>
              <w:right w:val="single" w:sz="8" w:space="0" w:color="61BC4D"/>
            </w:tcBorders>
            <w:vAlign w:val="center"/>
            <w:hideMark/>
          </w:tcPr>
          <w:p w14:paraId="36848E6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Cadastre Minier, Direction de la Géologie</w:t>
            </w:r>
          </w:p>
        </w:tc>
        <w:tc>
          <w:tcPr>
            <w:tcW w:w="850" w:type="dxa"/>
            <w:tcBorders>
              <w:top w:val="nil"/>
              <w:left w:val="nil"/>
              <w:bottom w:val="single" w:sz="8" w:space="0" w:color="61BC4D"/>
              <w:right w:val="single" w:sz="8" w:space="0" w:color="61BC4D"/>
            </w:tcBorders>
            <w:vAlign w:val="center"/>
            <w:hideMark/>
          </w:tcPr>
          <w:p w14:paraId="1658D94C"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6994E91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10BEDED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 ressources internes, formation technique</w:t>
            </w:r>
          </w:p>
        </w:tc>
        <w:tc>
          <w:tcPr>
            <w:tcW w:w="1417" w:type="dxa"/>
            <w:tcBorders>
              <w:top w:val="nil"/>
              <w:left w:val="nil"/>
              <w:bottom w:val="single" w:sz="8" w:space="0" w:color="61BC4D"/>
              <w:right w:val="single" w:sz="8" w:space="0" w:color="61BC4D"/>
            </w:tcBorders>
            <w:vAlign w:val="center"/>
            <w:hideMark/>
          </w:tcPr>
          <w:p w14:paraId="05779C8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 dans l’opérationnalisation du décret de 2024 ; manque de standardisation dans les procédures.</w:t>
            </w:r>
          </w:p>
        </w:tc>
        <w:tc>
          <w:tcPr>
            <w:tcW w:w="851" w:type="dxa"/>
            <w:tcBorders>
              <w:top w:val="nil"/>
              <w:left w:val="nil"/>
              <w:bottom w:val="single" w:sz="8" w:space="0" w:color="61BC4D"/>
              <w:right w:val="single" w:sz="8" w:space="0" w:color="61BC4D"/>
            </w:tcBorders>
            <w:vAlign w:val="center"/>
            <w:hideMark/>
          </w:tcPr>
          <w:p w14:paraId="58BC7FE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2.2, 4.7</w:t>
            </w:r>
          </w:p>
        </w:tc>
      </w:tr>
      <w:tr w:rsidR="00157DE1" w:rsidRPr="00CB4D41" w14:paraId="72901476" w14:textId="77777777" w:rsidTr="00610F0B">
        <w:trPr>
          <w:trHeight w:val="1050"/>
        </w:trPr>
        <w:tc>
          <w:tcPr>
            <w:tcW w:w="1134" w:type="dxa"/>
            <w:tcBorders>
              <w:top w:val="nil"/>
              <w:left w:val="nil"/>
              <w:bottom w:val="single" w:sz="8" w:space="0" w:color="61BC4D"/>
              <w:right w:val="single" w:sz="8" w:space="0" w:color="61BC4D"/>
            </w:tcBorders>
            <w:vAlign w:val="center"/>
            <w:hideMark/>
          </w:tcPr>
          <w:p w14:paraId="3694391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Direction de la Géologie</w:t>
            </w:r>
          </w:p>
        </w:tc>
        <w:tc>
          <w:tcPr>
            <w:tcW w:w="1560" w:type="dxa"/>
            <w:tcBorders>
              <w:top w:val="nil"/>
              <w:left w:val="nil"/>
              <w:bottom w:val="single" w:sz="8" w:space="0" w:color="61BC4D"/>
              <w:right w:val="single" w:sz="8" w:space="0" w:color="61BC4D"/>
            </w:tcBorders>
            <w:vAlign w:val="center"/>
            <w:hideMark/>
          </w:tcPr>
          <w:p w14:paraId="6F5FF03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Divulgation des données sur les projets miniers en construction</w:t>
            </w:r>
          </w:p>
        </w:tc>
        <w:tc>
          <w:tcPr>
            <w:tcW w:w="1985" w:type="dxa"/>
            <w:tcBorders>
              <w:top w:val="nil"/>
              <w:left w:val="nil"/>
              <w:bottom w:val="single" w:sz="8" w:space="0" w:color="61BC4D"/>
              <w:right w:val="single" w:sz="8" w:space="0" w:color="61BC4D"/>
            </w:tcBorders>
            <w:vAlign w:val="center"/>
            <w:hideMark/>
          </w:tcPr>
          <w:p w14:paraId="4E8F504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Les données non confidentielles (réserves prouvées, date estimée de mise en production, volumes prévisionnels) ne sont pas actuellement publiées.</w:t>
            </w:r>
          </w:p>
        </w:tc>
        <w:tc>
          <w:tcPr>
            <w:tcW w:w="2268" w:type="dxa"/>
            <w:tcBorders>
              <w:top w:val="nil"/>
              <w:left w:val="nil"/>
              <w:bottom w:val="single" w:sz="8" w:space="0" w:color="61BC4D"/>
              <w:right w:val="single" w:sz="8" w:space="0" w:color="61BC4D"/>
            </w:tcBorders>
            <w:vAlign w:val="center"/>
            <w:hideMark/>
          </w:tcPr>
          <w:p w14:paraId="6B07E65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Instituer une publication périodique (trimestrielle ou semestrielle) consolidant ces données non confidentielles sur le site du MINMIDT.</w:t>
            </w:r>
          </w:p>
        </w:tc>
        <w:tc>
          <w:tcPr>
            <w:tcW w:w="1560" w:type="dxa"/>
            <w:tcBorders>
              <w:top w:val="nil"/>
              <w:left w:val="nil"/>
              <w:bottom w:val="single" w:sz="8" w:space="0" w:color="61BC4D"/>
              <w:right w:val="single" w:sz="8" w:space="0" w:color="61BC4D"/>
            </w:tcBorders>
            <w:vAlign w:val="center"/>
            <w:hideMark/>
          </w:tcPr>
          <w:p w14:paraId="291CB86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Direction de la Géologie, Sous-direction des Activités Minières</w:t>
            </w:r>
          </w:p>
        </w:tc>
        <w:tc>
          <w:tcPr>
            <w:tcW w:w="850" w:type="dxa"/>
            <w:tcBorders>
              <w:top w:val="nil"/>
              <w:left w:val="nil"/>
              <w:bottom w:val="single" w:sz="8" w:space="0" w:color="61BC4D"/>
              <w:right w:val="single" w:sz="8" w:space="0" w:color="61BC4D"/>
            </w:tcBorders>
            <w:vAlign w:val="center"/>
            <w:hideMark/>
          </w:tcPr>
          <w:p w14:paraId="4DDB19C3"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69783F9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452C06A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(équipe éditoriale, web)</w:t>
            </w:r>
          </w:p>
        </w:tc>
        <w:tc>
          <w:tcPr>
            <w:tcW w:w="1417" w:type="dxa"/>
            <w:tcBorders>
              <w:top w:val="nil"/>
              <w:left w:val="nil"/>
              <w:bottom w:val="single" w:sz="8" w:space="0" w:color="61BC4D"/>
              <w:right w:val="single" w:sz="8" w:space="0" w:color="61BC4D"/>
            </w:tcBorders>
            <w:vAlign w:val="center"/>
            <w:hideMark/>
          </w:tcPr>
          <w:p w14:paraId="45071D9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Résistance institutionnelle à la publication proactive ; retard dans l’approbation interne.</w:t>
            </w:r>
          </w:p>
        </w:tc>
        <w:tc>
          <w:tcPr>
            <w:tcW w:w="851" w:type="dxa"/>
            <w:tcBorders>
              <w:top w:val="nil"/>
              <w:left w:val="nil"/>
              <w:bottom w:val="single" w:sz="8" w:space="0" w:color="61BC4D"/>
              <w:right w:val="single" w:sz="8" w:space="0" w:color="61BC4D"/>
            </w:tcBorders>
            <w:vAlign w:val="center"/>
            <w:hideMark/>
          </w:tcPr>
          <w:p w14:paraId="3D07E2A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3.1, 4.1</w:t>
            </w:r>
          </w:p>
        </w:tc>
      </w:tr>
      <w:tr w:rsidR="00157DE1" w:rsidRPr="00CB4D41" w14:paraId="70208F24"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1C6DD83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des Hydrocarbures</w:t>
            </w:r>
          </w:p>
        </w:tc>
        <w:tc>
          <w:tcPr>
            <w:tcW w:w="1560" w:type="dxa"/>
            <w:tcBorders>
              <w:top w:val="nil"/>
              <w:left w:val="nil"/>
              <w:bottom w:val="single" w:sz="8" w:space="0" w:color="61BC4D"/>
              <w:right w:val="single" w:sz="8" w:space="0" w:color="61BC4D"/>
            </w:tcBorders>
            <w:vAlign w:val="center"/>
            <w:hideMark/>
          </w:tcPr>
          <w:p w14:paraId="3D0DB99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sur le gaz torché</w:t>
            </w:r>
          </w:p>
        </w:tc>
        <w:tc>
          <w:tcPr>
            <w:tcW w:w="1985" w:type="dxa"/>
            <w:tcBorders>
              <w:top w:val="nil"/>
              <w:left w:val="nil"/>
              <w:bottom w:val="single" w:sz="8" w:space="0" w:color="61BC4D"/>
              <w:right w:val="single" w:sz="8" w:space="0" w:color="61BC4D"/>
            </w:tcBorders>
            <w:vAlign w:val="center"/>
            <w:hideMark/>
          </w:tcPr>
          <w:p w14:paraId="52957B0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Publication conditionnée à l’autorisation préalable de la SNH</w:t>
            </w:r>
          </w:p>
        </w:tc>
        <w:tc>
          <w:tcPr>
            <w:tcW w:w="2268" w:type="dxa"/>
            <w:tcBorders>
              <w:top w:val="nil"/>
              <w:left w:val="nil"/>
              <w:bottom w:val="single" w:sz="8" w:space="0" w:color="61BC4D"/>
              <w:right w:val="single" w:sz="8" w:space="0" w:color="61BC4D"/>
            </w:tcBorders>
            <w:vAlign w:val="center"/>
            <w:hideMark/>
          </w:tcPr>
          <w:p w14:paraId="4B9D4C4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Établir un protocole formel avec la SNH pour permettre la diffusion régulière (mensuelle ou trimestrielle) des données agrégées sur le gaz torché</w:t>
            </w:r>
          </w:p>
        </w:tc>
        <w:tc>
          <w:tcPr>
            <w:tcW w:w="1560" w:type="dxa"/>
            <w:tcBorders>
              <w:top w:val="nil"/>
              <w:left w:val="nil"/>
              <w:bottom w:val="single" w:sz="8" w:space="0" w:color="61BC4D"/>
              <w:right w:val="single" w:sz="8" w:space="0" w:color="61BC4D"/>
            </w:tcBorders>
            <w:vAlign w:val="center"/>
            <w:hideMark/>
          </w:tcPr>
          <w:p w14:paraId="6C83207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des Hydrocarbures, SNH, MINMIDT</w:t>
            </w:r>
          </w:p>
        </w:tc>
        <w:tc>
          <w:tcPr>
            <w:tcW w:w="850" w:type="dxa"/>
            <w:tcBorders>
              <w:top w:val="nil"/>
              <w:left w:val="nil"/>
              <w:bottom w:val="single" w:sz="8" w:space="0" w:color="61BC4D"/>
              <w:right w:val="single" w:sz="8" w:space="0" w:color="61BC4D"/>
            </w:tcBorders>
            <w:vAlign w:val="center"/>
            <w:hideMark/>
          </w:tcPr>
          <w:p w14:paraId="7D827B8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11C9F0B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0B23798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réunions, suivi protocolaire</w:t>
            </w:r>
          </w:p>
        </w:tc>
        <w:tc>
          <w:tcPr>
            <w:tcW w:w="1417" w:type="dxa"/>
            <w:tcBorders>
              <w:top w:val="nil"/>
              <w:left w:val="nil"/>
              <w:bottom w:val="single" w:sz="8" w:space="0" w:color="61BC4D"/>
              <w:right w:val="single" w:sz="8" w:space="0" w:color="61BC4D"/>
            </w:tcBorders>
            <w:vAlign w:val="center"/>
            <w:hideMark/>
          </w:tcPr>
          <w:p w14:paraId="6AF96DC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Réticence institutionnelle, retard dans l’accord final de la SNH</w:t>
            </w:r>
          </w:p>
        </w:tc>
        <w:tc>
          <w:tcPr>
            <w:tcW w:w="851" w:type="dxa"/>
            <w:tcBorders>
              <w:top w:val="nil"/>
              <w:left w:val="nil"/>
              <w:bottom w:val="single" w:sz="8" w:space="0" w:color="61BC4D"/>
              <w:right w:val="single" w:sz="8" w:space="0" w:color="61BC4D"/>
            </w:tcBorders>
            <w:vAlign w:val="center"/>
            <w:hideMark/>
          </w:tcPr>
          <w:p w14:paraId="7DF6622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6.4, 3.1, 2.1</w:t>
            </w:r>
          </w:p>
        </w:tc>
      </w:tr>
      <w:tr w:rsidR="00157DE1" w:rsidRPr="00CB4D41" w14:paraId="6D34CBAB"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2C20469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Sous-Direction des Hydrocarbures</w:t>
            </w:r>
          </w:p>
        </w:tc>
        <w:tc>
          <w:tcPr>
            <w:tcW w:w="1560" w:type="dxa"/>
            <w:tcBorders>
              <w:top w:val="nil"/>
              <w:left w:val="nil"/>
              <w:bottom w:val="single" w:sz="8" w:space="0" w:color="61BC4D"/>
              <w:right w:val="single" w:sz="8" w:space="0" w:color="61BC4D"/>
            </w:tcBorders>
            <w:vAlign w:val="center"/>
            <w:hideMark/>
          </w:tcPr>
          <w:p w14:paraId="6D41326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Clarification du mandat institutionnel de publication des données techniques</w:t>
            </w:r>
          </w:p>
        </w:tc>
        <w:tc>
          <w:tcPr>
            <w:tcW w:w="1985" w:type="dxa"/>
            <w:tcBorders>
              <w:top w:val="nil"/>
              <w:left w:val="nil"/>
              <w:bottom w:val="single" w:sz="8" w:space="0" w:color="61BC4D"/>
              <w:right w:val="single" w:sz="8" w:space="0" w:color="61BC4D"/>
            </w:tcBorders>
            <w:vAlign w:val="center"/>
            <w:hideMark/>
          </w:tcPr>
          <w:p w14:paraId="7938471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Mandat limité, publication et centralisation confiées exclusivement à la SNH</w:t>
            </w:r>
          </w:p>
        </w:tc>
        <w:tc>
          <w:tcPr>
            <w:tcW w:w="2268" w:type="dxa"/>
            <w:tcBorders>
              <w:top w:val="nil"/>
              <w:left w:val="nil"/>
              <w:bottom w:val="single" w:sz="8" w:space="0" w:color="61BC4D"/>
              <w:right w:val="single" w:sz="8" w:space="0" w:color="61BC4D"/>
            </w:tcBorders>
            <w:vAlign w:val="center"/>
            <w:hideMark/>
          </w:tcPr>
          <w:p w14:paraId="7F0BAF3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Clarifier les rôles et responsabilités par une circulaire ou une note formelle interinstitutionnelle (Sous-direction des </w:t>
            </w:r>
            <w:r w:rsidRPr="00B74738">
              <w:rPr>
                <w:rFonts w:ascii="Kohinoor Devanagari" w:eastAsia="Times New Roman" w:hAnsi="Kohinoor Devanagari" w:cs="Kohinoor Devanagari"/>
                <w:color w:val="0D0D0D"/>
                <w:kern w:val="0"/>
                <w:sz w:val="19"/>
                <w:szCs w:val="19"/>
                <w:lang w:eastAsia="fr-FR"/>
                <w14:ligatures w14:val="none"/>
              </w:rPr>
              <w:lastRenderedPageBreak/>
              <w:t>Hydrocarbures, SNH, MINFI, Comité ITIE)</w:t>
            </w:r>
          </w:p>
        </w:tc>
        <w:tc>
          <w:tcPr>
            <w:tcW w:w="1560" w:type="dxa"/>
            <w:tcBorders>
              <w:top w:val="nil"/>
              <w:left w:val="nil"/>
              <w:bottom w:val="single" w:sz="8" w:space="0" w:color="61BC4D"/>
              <w:right w:val="single" w:sz="8" w:space="0" w:color="61BC4D"/>
            </w:tcBorders>
            <w:vAlign w:val="center"/>
            <w:hideMark/>
          </w:tcPr>
          <w:p w14:paraId="7E4CDE6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MINEE, SNH, Comité ITIE</w:t>
            </w:r>
          </w:p>
        </w:tc>
        <w:tc>
          <w:tcPr>
            <w:tcW w:w="850" w:type="dxa"/>
            <w:tcBorders>
              <w:top w:val="nil"/>
              <w:left w:val="nil"/>
              <w:bottom w:val="single" w:sz="8" w:space="0" w:color="61BC4D"/>
              <w:right w:val="single" w:sz="8" w:space="0" w:color="61BC4D"/>
            </w:tcBorders>
            <w:vAlign w:val="center"/>
            <w:hideMark/>
          </w:tcPr>
          <w:p w14:paraId="65FD6CD6"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46452FF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674E425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(ateliers interinstitutionnels) </w:t>
            </w:r>
          </w:p>
        </w:tc>
        <w:tc>
          <w:tcPr>
            <w:tcW w:w="1417" w:type="dxa"/>
            <w:tcBorders>
              <w:top w:val="nil"/>
              <w:left w:val="nil"/>
              <w:bottom w:val="single" w:sz="8" w:space="0" w:color="61BC4D"/>
              <w:right w:val="single" w:sz="8" w:space="0" w:color="61BC4D"/>
            </w:tcBorders>
            <w:vAlign w:val="center"/>
            <w:hideMark/>
          </w:tcPr>
          <w:p w14:paraId="4052F59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Résistance institutionnelle à la modification des responsabilités établies</w:t>
            </w:r>
          </w:p>
        </w:tc>
        <w:tc>
          <w:tcPr>
            <w:tcW w:w="851" w:type="dxa"/>
            <w:tcBorders>
              <w:top w:val="nil"/>
              <w:left w:val="nil"/>
              <w:bottom w:val="single" w:sz="8" w:space="0" w:color="61BC4D"/>
              <w:right w:val="single" w:sz="8" w:space="0" w:color="61BC4D"/>
            </w:tcBorders>
            <w:vAlign w:val="center"/>
            <w:hideMark/>
          </w:tcPr>
          <w:p w14:paraId="49A5803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6.4, 3.1, 2.1</w:t>
            </w:r>
          </w:p>
        </w:tc>
      </w:tr>
      <w:tr w:rsidR="00157DE1" w:rsidRPr="00CB4D41" w14:paraId="4826374A"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1D764B7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DGB</w:t>
            </w:r>
          </w:p>
        </w:tc>
        <w:tc>
          <w:tcPr>
            <w:tcW w:w="1560" w:type="dxa"/>
            <w:tcBorders>
              <w:top w:val="nil"/>
              <w:left w:val="nil"/>
              <w:bottom w:val="single" w:sz="8" w:space="0" w:color="61BC4D"/>
              <w:right w:val="single" w:sz="8" w:space="0" w:color="61BC4D"/>
            </w:tcBorders>
            <w:vAlign w:val="center"/>
            <w:hideMark/>
          </w:tcPr>
          <w:p w14:paraId="5E3A073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sur les participations de l'État</w:t>
            </w:r>
          </w:p>
        </w:tc>
        <w:tc>
          <w:tcPr>
            <w:tcW w:w="1985" w:type="dxa"/>
            <w:tcBorders>
              <w:top w:val="nil"/>
              <w:left w:val="nil"/>
              <w:bottom w:val="single" w:sz="8" w:space="0" w:color="61BC4D"/>
              <w:right w:val="single" w:sz="8" w:space="0" w:color="61BC4D"/>
            </w:tcBorders>
            <w:vAlign w:val="center"/>
            <w:hideMark/>
          </w:tcPr>
          <w:p w14:paraId="7334CEC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Informations publiées annuellement sous format peu exploitable</w:t>
            </w:r>
          </w:p>
        </w:tc>
        <w:tc>
          <w:tcPr>
            <w:tcW w:w="2268" w:type="dxa"/>
            <w:tcBorders>
              <w:top w:val="nil"/>
              <w:left w:val="nil"/>
              <w:bottom w:val="single" w:sz="8" w:space="0" w:color="61BC4D"/>
              <w:right w:val="single" w:sz="8" w:space="0" w:color="61BC4D"/>
            </w:tcBorders>
            <w:vAlign w:val="center"/>
            <w:hideMark/>
          </w:tcPr>
          <w:p w14:paraId="4BECBE4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Publier trimestriellement un tableau synthétique des participations de l’État en format ouvert (CSV, Excel)</w:t>
            </w:r>
          </w:p>
        </w:tc>
        <w:tc>
          <w:tcPr>
            <w:tcW w:w="1560" w:type="dxa"/>
            <w:tcBorders>
              <w:top w:val="nil"/>
              <w:left w:val="nil"/>
              <w:bottom w:val="single" w:sz="8" w:space="0" w:color="61BC4D"/>
              <w:right w:val="single" w:sz="8" w:space="0" w:color="61BC4D"/>
            </w:tcBorders>
            <w:vAlign w:val="center"/>
            <w:hideMark/>
          </w:tcPr>
          <w:p w14:paraId="544C362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DGB, MINFI</w:t>
            </w:r>
          </w:p>
        </w:tc>
        <w:tc>
          <w:tcPr>
            <w:tcW w:w="850" w:type="dxa"/>
            <w:tcBorders>
              <w:top w:val="nil"/>
              <w:left w:val="nil"/>
              <w:bottom w:val="single" w:sz="8" w:space="0" w:color="61BC4D"/>
              <w:right w:val="single" w:sz="8" w:space="0" w:color="61BC4D"/>
            </w:tcBorders>
            <w:vAlign w:val="center"/>
            <w:hideMark/>
          </w:tcPr>
          <w:p w14:paraId="0AC67540"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7A8CCE1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06CC6C1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 Edition, formatage des données, mise en ligne</w:t>
            </w:r>
          </w:p>
        </w:tc>
        <w:tc>
          <w:tcPr>
            <w:tcW w:w="1417" w:type="dxa"/>
            <w:tcBorders>
              <w:top w:val="nil"/>
              <w:left w:val="nil"/>
              <w:bottom w:val="single" w:sz="8" w:space="0" w:color="61BC4D"/>
              <w:right w:val="single" w:sz="8" w:space="0" w:color="61BC4D"/>
            </w:tcBorders>
            <w:vAlign w:val="center"/>
            <w:hideMark/>
          </w:tcPr>
          <w:p w14:paraId="6B5C109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Difficultés techniques internes, retard de validation politique</w:t>
            </w:r>
          </w:p>
        </w:tc>
        <w:tc>
          <w:tcPr>
            <w:tcW w:w="851" w:type="dxa"/>
            <w:tcBorders>
              <w:top w:val="nil"/>
              <w:left w:val="nil"/>
              <w:bottom w:val="single" w:sz="8" w:space="0" w:color="61BC4D"/>
              <w:right w:val="single" w:sz="8" w:space="0" w:color="61BC4D"/>
            </w:tcBorders>
            <w:vAlign w:val="center"/>
            <w:hideMark/>
          </w:tcPr>
          <w:p w14:paraId="45F44C7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2.6, 5.1</w:t>
            </w:r>
          </w:p>
        </w:tc>
      </w:tr>
      <w:tr w:rsidR="00157DE1" w:rsidRPr="00CB4D41" w14:paraId="1247ECFF"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7D23E55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DGB</w:t>
            </w:r>
          </w:p>
        </w:tc>
        <w:tc>
          <w:tcPr>
            <w:tcW w:w="1560" w:type="dxa"/>
            <w:tcBorders>
              <w:top w:val="nil"/>
              <w:left w:val="nil"/>
              <w:bottom w:val="single" w:sz="8" w:space="0" w:color="61BC4D"/>
              <w:right w:val="single" w:sz="8" w:space="0" w:color="61BC4D"/>
            </w:tcBorders>
            <w:vAlign w:val="center"/>
            <w:hideMark/>
          </w:tcPr>
          <w:p w14:paraId="652294D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Dépenses quasi-budgétaires</w:t>
            </w:r>
          </w:p>
        </w:tc>
        <w:tc>
          <w:tcPr>
            <w:tcW w:w="1985" w:type="dxa"/>
            <w:tcBorders>
              <w:top w:val="nil"/>
              <w:left w:val="nil"/>
              <w:bottom w:val="single" w:sz="8" w:space="0" w:color="61BC4D"/>
              <w:right w:val="single" w:sz="8" w:space="0" w:color="61BC4D"/>
            </w:tcBorders>
            <w:vAlign w:val="center"/>
            <w:hideMark/>
          </w:tcPr>
          <w:p w14:paraId="7AB60D7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Aucune identifiée, mais absence de clarification explicite</w:t>
            </w:r>
          </w:p>
        </w:tc>
        <w:tc>
          <w:tcPr>
            <w:tcW w:w="2268" w:type="dxa"/>
            <w:tcBorders>
              <w:top w:val="nil"/>
              <w:left w:val="nil"/>
              <w:bottom w:val="single" w:sz="8" w:space="0" w:color="61BC4D"/>
              <w:right w:val="single" w:sz="8" w:space="0" w:color="61BC4D"/>
            </w:tcBorders>
            <w:vAlign w:val="center"/>
            <w:hideMark/>
          </w:tcPr>
          <w:p w14:paraId="35309CD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Intégrer une mention explicite dans les futures publications ITIE indiquant l’absence ou l’existence de dépenses quasi-budgétaires</w:t>
            </w:r>
          </w:p>
        </w:tc>
        <w:tc>
          <w:tcPr>
            <w:tcW w:w="1560" w:type="dxa"/>
            <w:tcBorders>
              <w:top w:val="nil"/>
              <w:left w:val="nil"/>
              <w:bottom w:val="single" w:sz="8" w:space="0" w:color="61BC4D"/>
              <w:right w:val="single" w:sz="8" w:space="0" w:color="61BC4D"/>
            </w:tcBorders>
            <w:vAlign w:val="center"/>
            <w:hideMark/>
          </w:tcPr>
          <w:p w14:paraId="24FE174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DGB, Comité ITIE, MINFI</w:t>
            </w:r>
          </w:p>
        </w:tc>
        <w:tc>
          <w:tcPr>
            <w:tcW w:w="850" w:type="dxa"/>
            <w:tcBorders>
              <w:top w:val="nil"/>
              <w:left w:val="nil"/>
              <w:bottom w:val="single" w:sz="8" w:space="0" w:color="61BC4D"/>
              <w:right w:val="single" w:sz="8" w:space="0" w:color="61BC4D"/>
            </w:tcBorders>
            <w:vAlign w:val="center"/>
            <w:hideMark/>
          </w:tcPr>
          <w:p w14:paraId="42CF246E"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3</w:t>
            </w:r>
          </w:p>
        </w:tc>
        <w:tc>
          <w:tcPr>
            <w:tcW w:w="992" w:type="dxa"/>
            <w:tcBorders>
              <w:top w:val="nil"/>
              <w:left w:val="nil"/>
              <w:bottom w:val="single" w:sz="8" w:space="0" w:color="61BC4D"/>
              <w:right w:val="single" w:sz="8" w:space="0" w:color="61BC4D"/>
            </w:tcBorders>
            <w:vAlign w:val="center"/>
            <w:hideMark/>
          </w:tcPr>
          <w:p w14:paraId="1FB5678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0D52730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(validation rédactionnelle)</w:t>
            </w:r>
          </w:p>
        </w:tc>
        <w:tc>
          <w:tcPr>
            <w:tcW w:w="1417" w:type="dxa"/>
            <w:tcBorders>
              <w:top w:val="nil"/>
              <w:left w:val="nil"/>
              <w:bottom w:val="single" w:sz="8" w:space="0" w:color="61BC4D"/>
              <w:right w:val="single" w:sz="8" w:space="0" w:color="61BC4D"/>
            </w:tcBorders>
            <w:vAlign w:val="center"/>
            <w:hideMark/>
          </w:tcPr>
          <w:p w14:paraId="2F138F1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 risque</w:t>
            </w:r>
          </w:p>
        </w:tc>
        <w:tc>
          <w:tcPr>
            <w:tcW w:w="851" w:type="dxa"/>
            <w:tcBorders>
              <w:top w:val="nil"/>
              <w:left w:val="nil"/>
              <w:bottom w:val="single" w:sz="8" w:space="0" w:color="61BC4D"/>
              <w:right w:val="single" w:sz="8" w:space="0" w:color="61BC4D"/>
            </w:tcBorders>
            <w:vAlign w:val="center"/>
            <w:hideMark/>
          </w:tcPr>
          <w:p w14:paraId="1C660E8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6.2</w:t>
            </w:r>
          </w:p>
        </w:tc>
      </w:tr>
      <w:tr w:rsidR="00157DE1" w:rsidRPr="00CB4D41" w14:paraId="4F03B1C0"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6C5B9C9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DGB</w:t>
            </w:r>
          </w:p>
        </w:tc>
        <w:tc>
          <w:tcPr>
            <w:tcW w:w="1560" w:type="dxa"/>
            <w:tcBorders>
              <w:top w:val="nil"/>
              <w:left w:val="nil"/>
              <w:bottom w:val="single" w:sz="8" w:space="0" w:color="61BC4D"/>
              <w:right w:val="single" w:sz="8" w:space="0" w:color="61BC4D"/>
            </w:tcBorders>
            <w:vAlign w:val="center"/>
            <w:hideMark/>
          </w:tcPr>
          <w:p w14:paraId="119368A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Documentation complémentaire (Tome Vert)</w:t>
            </w:r>
          </w:p>
        </w:tc>
        <w:tc>
          <w:tcPr>
            <w:tcW w:w="1985" w:type="dxa"/>
            <w:tcBorders>
              <w:top w:val="nil"/>
              <w:left w:val="nil"/>
              <w:bottom w:val="single" w:sz="8" w:space="0" w:color="61BC4D"/>
              <w:right w:val="single" w:sz="8" w:space="0" w:color="61BC4D"/>
            </w:tcBorders>
            <w:vAlign w:val="center"/>
            <w:hideMark/>
          </w:tcPr>
          <w:p w14:paraId="5F21DA9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Non accessible publiquement malgré son importance pour la transparence budgétaire</w:t>
            </w:r>
          </w:p>
        </w:tc>
        <w:tc>
          <w:tcPr>
            <w:tcW w:w="2268" w:type="dxa"/>
            <w:tcBorders>
              <w:top w:val="nil"/>
              <w:left w:val="nil"/>
              <w:bottom w:val="single" w:sz="8" w:space="0" w:color="61BC4D"/>
              <w:right w:val="single" w:sz="8" w:space="0" w:color="61BC4D"/>
            </w:tcBorders>
            <w:vAlign w:val="center"/>
            <w:hideMark/>
          </w:tcPr>
          <w:p w14:paraId="30CC384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Examiner les modalités de mise à disposition publique du Tome Vert via une plateforme accessible en ligne</w:t>
            </w:r>
          </w:p>
        </w:tc>
        <w:tc>
          <w:tcPr>
            <w:tcW w:w="1560" w:type="dxa"/>
            <w:tcBorders>
              <w:top w:val="nil"/>
              <w:left w:val="nil"/>
              <w:bottom w:val="single" w:sz="8" w:space="0" w:color="61BC4D"/>
              <w:right w:val="single" w:sz="8" w:space="0" w:color="61BC4D"/>
            </w:tcBorders>
            <w:vAlign w:val="center"/>
            <w:hideMark/>
          </w:tcPr>
          <w:p w14:paraId="2598296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DGB, Parlement, MINFI</w:t>
            </w:r>
          </w:p>
        </w:tc>
        <w:tc>
          <w:tcPr>
            <w:tcW w:w="850" w:type="dxa"/>
            <w:tcBorders>
              <w:top w:val="nil"/>
              <w:left w:val="nil"/>
              <w:bottom w:val="single" w:sz="8" w:space="0" w:color="61BC4D"/>
              <w:right w:val="single" w:sz="8" w:space="0" w:color="61BC4D"/>
            </w:tcBorders>
            <w:vAlign w:val="center"/>
            <w:hideMark/>
          </w:tcPr>
          <w:p w14:paraId="597928F0"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9</w:t>
            </w:r>
          </w:p>
        </w:tc>
        <w:tc>
          <w:tcPr>
            <w:tcW w:w="992" w:type="dxa"/>
            <w:tcBorders>
              <w:top w:val="nil"/>
              <w:left w:val="nil"/>
              <w:bottom w:val="single" w:sz="8" w:space="0" w:color="61BC4D"/>
              <w:right w:val="single" w:sz="8" w:space="0" w:color="61BC4D"/>
            </w:tcBorders>
            <w:vAlign w:val="center"/>
            <w:hideMark/>
          </w:tcPr>
          <w:p w14:paraId="182454D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44D73A7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 numérisation, plateforme web</w:t>
            </w:r>
          </w:p>
        </w:tc>
        <w:tc>
          <w:tcPr>
            <w:tcW w:w="1417" w:type="dxa"/>
            <w:tcBorders>
              <w:top w:val="nil"/>
              <w:left w:val="nil"/>
              <w:bottom w:val="single" w:sz="8" w:space="0" w:color="61BC4D"/>
              <w:right w:val="single" w:sz="8" w:space="0" w:color="61BC4D"/>
            </w:tcBorders>
            <w:vAlign w:val="center"/>
            <w:hideMark/>
          </w:tcPr>
          <w:p w14:paraId="0FEA747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Réticence institutionnelle à la transparence accrue</w:t>
            </w:r>
          </w:p>
        </w:tc>
        <w:tc>
          <w:tcPr>
            <w:tcW w:w="851" w:type="dxa"/>
            <w:tcBorders>
              <w:top w:val="nil"/>
              <w:left w:val="nil"/>
              <w:bottom w:val="single" w:sz="8" w:space="0" w:color="61BC4D"/>
              <w:right w:val="single" w:sz="8" w:space="0" w:color="61BC4D"/>
            </w:tcBorders>
            <w:vAlign w:val="center"/>
            <w:hideMark/>
          </w:tcPr>
          <w:p w14:paraId="3083E56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5.1, 7.2 </w:t>
            </w:r>
          </w:p>
        </w:tc>
      </w:tr>
      <w:tr w:rsidR="00157DE1" w:rsidRPr="00CB4D41" w14:paraId="0A603FE2"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5BC6E1B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w:t>
            </w:r>
          </w:p>
        </w:tc>
        <w:tc>
          <w:tcPr>
            <w:tcW w:w="1560" w:type="dxa"/>
            <w:tcBorders>
              <w:top w:val="nil"/>
              <w:left w:val="nil"/>
              <w:bottom w:val="single" w:sz="8" w:space="0" w:color="61BC4D"/>
              <w:right w:val="single" w:sz="8" w:space="0" w:color="61BC4D"/>
            </w:tcBorders>
            <w:vAlign w:val="center"/>
            <w:hideMark/>
          </w:tcPr>
          <w:p w14:paraId="77CE614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Contraintes juridiques sur </w:t>
            </w:r>
            <w:r w:rsidRPr="00B74738">
              <w:rPr>
                <w:rFonts w:ascii="Kohinoor Devanagari" w:eastAsia="Times New Roman" w:hAnsi="Kohinoor Devanagari" w:cs="Kohinoor Devanagari"/>
                <w:color w:val="0D0D0D"/>
                <w:kern w:val="0"/>
                <w:sz w:val="19"/>
                <w:szCs w:val="19"/>
                <w:lang w:eastAsia="fr-FR"/>
                <w14:ligatures w14:val="none"/>
              </w:rPr>
              <w:lastRenderedPageBreak/>
              <w:t>la désagrégation des données</w:t>
            </w:r>
          </w:p>
        </w:tc>
        <w:tc>
          <w:tcPr>
            <w:tcW w:w="1985" w:type="dxa"/>
            <w:tcBorders>
              <w:top w:val="nil"/>
              <w:left w:val="nil"/>
              <w:bottom w:val="single" w:sz="8" w:space="0" w:color="61BC4D"/>
              <w:right w:val="single" w:sz="8" w:space="0" w:color="61BC4D"/>
            </w:tcBorders>
            <w:vAlign w:val="center"/>
            <w:hideMark/>
          </w:tcPr>
          <w:p w14:paraId="4376D04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 xml:space="preserve">Divulgation des données </w:t>
            </w:r>
            <w:r w:rsidRPr="00B74738">
              <w:rPr>
                <w:rFonts w:ascii="Kohinoor Devanagari" w:eastAsia="Times New Roman" w:hAnsi="Kohinoor Devanagari" w:cs="Kohinoor Devanagari"/>
                <w:color w:val="0D0D0D"/>
                <w:kern w:val="0"/>
                <w:sz w:val="19"/>
                <w:szCs w:val="19"/>
                <w:lang w:eastAsia="fr-FR"/>
                <w14:ligatures w14:val="none"/>
              </w:rPr>
              <w:lastRenderedPageBreak/>
              <w:t>désagrégées interdite sans autorisation formelle</w:t>
            </w:r>
          </w:p>
        </w:tc>
        <w:tc>
          <w:tcPr>
            <w:tcW w:w="2268" w:type="dxa"/>
            <w:tcBorders>
              <w:top w:val="nil"/>
              <w:left w:val="nil"/>
              <w:bottom w:val="single" w:sz="8" w:space="0" w:color="61BC4D"/>
              <w:right w:val="single" w:sz="8" w:space="0" w:color="61BC4D"/>
            </w:tcBorders>
            <w:vAlign w:val="center"/>
            <w:hideMark/>
          </w:tcPr>
          <w:p w14:paraId="4021652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 xml:space="preserve">Initier une concertation interinstitutionnelle </w:t>
            </w:r>
            <w:r w:rsidRPr="00B74738">
              <w:rPr>
                <w:rFonts w:ascii="Kohinoor Devanagari" w:eastAsia="Times New Roman" w:hAnsi="Kohinoor Devanagari" w:cs="Kohinoor Devanagari"/>
                <w:color w:val="0D0D0D"/>
                <w:kern w:val="0"/>
                <w:sz w:val="19"/>
                <w:szCs w:val="19"/>
                <w:lang w:eastAsia="fr-FR"/>
                <w14:ligatures w14:val="none"/>
              </w:rPr>
              <w:lastRenderedPageBreak/>
              <w:t>(INS, MINFI, Comité ITIE) pour encadrer légalement la divulgation des données désagrégées pour l’ITIE</w:t>
            </w:r>
          </w:p>
        </w:tc>
        <w:tc>
          <w:tcPr>
            <w:tcW w:w="1560" w:type="dxa"/>
            <w:tcBorders>
              <w:top w:val="nil"/>
              <w:left w:val="nil"/>
              <w:bottom w:val="single" w:sz="8" w:space="0" w:color="61BC4D"/>
              <w:right w:val="single" w:sz="8" w:space="0" w:color="61BC4D"/>
            </w:tcBorders>
            <w:vAlign w:val="center"/>
            <w:hideMark/>
          </w:tcPr>
          <w:p w14:paraId="5C323A7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DGD, INS, Comité ITIE</w:t>
            </w:r>
          </w:p>
        </w:tc>
        <w:tc>
          <w:tcPr>
            <w:tcW w:w="850" w:type="dxa"/>
            <w:tcBorders>
              <w:top w:val="nil"/>
              <w:left w:val="nil"/>
              <w:bottom w:val="single" w:sz="8" w:space="0" w:color="61BC4D"/>
              <w:right w:val="single" w:sz="8" w:space="0" w:color="61BC4D"/>
            </w:tcBorders>
            <w:vAlign w:val="center"/>
            <w:hideMark/>
          </w:tcPr>
          <w:p w14:paraId="0DF9FB5E"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4A2CFC9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3AE33CF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w:t>
            </w:r>
            <w:r w:rsidRPr="00B74738">
              <w:rPr>
                <w:rFonts w:ascii="Kohinoor Devanagari" w:eastAsia="Times New Roman" w:hAnsi="Kohinoor Devanagari" w:cs="Kohinoor Devanagari"/>
                <w:color w:val="0D0D0D"/>
                <w:kern w:val="0"/>
                <w:sz w:val="19"/>
                <w:szCs w:val="19"/>
                <w:lang w:eastAsia="fr-FR"/>
                <w14:ligatures w14:val="none"/>
              </w:rPr>
              <w:lastRenderedPageBreak/>
              <w:t xml:space="preserve">(réunions, expertise juridique) </w:t>
            </w:r>
          </w:p>
        </w:tc>
        <w:tc>
          <w:tcPr>
            <w:tcW w:w="1417" w:type="dxa"/>
            <w:tcBorders>
              <w:top w:val="nil"/>
              <w:left w:val="nil"/>
              <w:bottom w:val="single" w:sz="8" w:space="0" w:color="61BC4D"/>
              <w:right w:val="single" w:sz="8" w:space="0" w:color="61BC4D"/>
            </w:tcBorders>
            <w:vAlign w:val="center"/>
            <w:hideMark/>
          </w:tcPr>
          <w:p w14:paraId="3AA5CEB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 xml:space="preserve">Blocage juridique, </w:t>
            </w:r>
            <w:r w:rsidRPr="00B74738">
              <w:rPr>
                <w:rFonts w:ascii="Kohinoor Devanagari" w:eastAsia="Times New Roman" w:hAnsi="Kohinoor Devanagari" w:cs="Kohinoor Devanagari"/>
                <w:color w:val="0D0D0D"/>
                <w:kern w:val="0"/>
                <w:sz w:val="19"/>
                <w:szCs w:val="19"/>
                <w:lang w:eastAsia="fr-FR"/>
                <w14:ligatures w14:val="none"/>
              </w:rPr>
              <w:lastRenderedPageBreak/>
              <w:t>délai d’adoption d’un cadre réglementaire adéquat</w:t>
            </w:r>
          </w:p>
        </w:tc>
        <w:tc>
          <w:tcPr>
            <w:tcW w:w="851" w:type="dxa"/>
            <w:tcBorders>
              <w:top w:val="nil"/>
              <w:left w:val="nil"/>
              <w:bottom w:val="single" w:sz="8" w:space="0" w:color="61BC4D"/>
              <w:right w:val="single" w:sz="8" w:space="0" w:color="61BC4D"/>
            </w:tcBorders>
            <w:vAlign w:val="center"/>
            <w:hideMark/>
          </w:tcPr>
          <w:p w14:paraId="05F7B17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4.7, 7.2</w:t>
            </w:r>
          </w:p>
        </w:tc>
      </w:tr>
      <w:tr w:rsidR="00157DE1" w:rsidRPr="00CB4D41" w14:paraId="5B193014"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297F7B2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w:t>
            </w:r>
          </w:p>
        </w:tc>
        <w:tc>
          <w:tcPr>
            <w:tcW w:w="1560" w:type="dxa"/>
            <w:tcBorders>
              <w:top w:val="nil"/>
              <w:left w:val="nil"/>
              <w:bottom w:val="single" w:sz="8" w:space="0" w:color="61BC4D"/>
              <w:right w:val="single" w:sz="8" w:space="0" w:color="61BC4D"/>
            </w:tcBorders>
            <w:vAlign w:val="center"/>
            <w:hideMark/>
          </w:tcPr>
          <w:p w14:paraId="1AA5180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Identification et structuration des données par projet</w:t>
            </w:r>
          </w:p>
        </w:tc>
        <w:tc>
          <w:tcPr>
            <w:tcW w:w="1985" w:type="dxa"/>
            <w:tcBorders>
              <w:top w:val="nil"/>
              <w:left w:val="nil"/>
              <w:bottom w:val="single" w:sz="8" w:space="0" w:color="61BC4D"/>
              <w:right w:val="single" w:sz="8" w:space="0" w:color="61BC4D"/>
            </w:tcBorders>
            <w:vAlign w:val="center"/>
            <w:hideMark/>
          </w:tcPr>
          <w:p w14:paraId="4A98BF7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CAMSYS ne permet pas actuellement d’identifier clairement les données par projet extractif</w:t>
            </w:r>
          </w:p>
        </w:tc>
        <w:tc>
          <w:tcPr>
            <w:tcW w:w="2268" w:type="dxa"/>
            <w:tcBorders>
              <w:top w:val="nil"/>
              <w:left w:val="nil"/>
              <w:bottom w:val="single" w:sz="8" w:space="0" w:color="61BC4D"/>
              <w:right w:val="single" w:sz="8" w:space="0" w:color="61BC4D"/>
            </w:tcBorders>
            <w:vAlign w:val="center"/>
            <w:hideMark/>
          </w:tcPr>
          <w:p w14:paraId="60F5B45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Collaborer avec la DGI et intégrer un identifiant sectoriel unique dans le registre des contribuables afin de structurer les données par projet</w:t>
            </w:r>
          </w:p>
        </w:tc>
        <w:tc>
          <w:tcPr>
            <w:tcW w:w="1560" w:type="dxa"/>
            <w:tcBorders>
              <w:top w:val="nil"/>
              <w:left w:val="nil"/>
              <w:bottom w:val="single" w:sz="8" w:space="0" w:color="61BC4D"/>
              <w:right w:val="single" w:sz="8" w:space="0" w:color="61BC4D"/>
            </w:tcBorders>
            <w:vAlign w:val="center"/>
            <w:hideMark/>
          </w:tcPr>
          <w:p w14:paraId="4D140FF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 DGI, MINFI</w:t>
            </w:r>
          </w:p>
        </w:tc>
        <w:tc>
          <w:tcPr>
            <w:tcW w:w="850" w:type="dxa"/>
            <w:tcBorders>
              <w:top w:val="nil"/>
              <w:left w:val="nil"/>
              <w:bottom w:val="single" w:sz="8" w:space="0" w:color="61BC4D"/>
              <w:right w:val="single" w:sz="8" w:space="0" w:color="61BC4D"/>
            </w:tcBorders>
            <w:vAlign w:val="center"/>
            <w:hideMark/>
          </w:tcPr>
          <w:p w14:paraId="15B691CA"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1803B84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1C1DAC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Interopérabilité des systèmes, développement informatique</w:t>
            </w:r>
          </w:p>
        </w:tc>
        <w:tc>
          <w:tcPr>
            <w:tcW w:w="1417" w:type="dxa"/>
            <w:tcBorders>
              <w:top w:val="nil"/>
              <w:left w:val="nil"/>
              <w:bottom w:val="single" w:sz="8" w:space="0" w:color="61BC4D"/>
              <w:right w:val="single" w:sz="8" w:space="0" w:color="61BC4D"/>
            </w:tcBorders>
            <w:vAlign w:val="center"/>
            <w:hideMark/>
          </w:tcPr>
          <w:p w14:paraId="64F2F3B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Difficultés techniques d’interopérabilité entre systèmes</w:t>
            </w:r>
          </w:p>
        </w:tc>
        <w:tc>
          <w:tcPr>
            <w:tcW w:w="851" w:type="dxa"/>
            <w:tcBorders>
              <w:top w:val="nil"/>
              <w:left w:val="nil"/>
              <w:bottom w:val="single" w:sz="8" w:space="0" w:color="61BC4D"/>
              <w:right w:val="single" w:sz="8" w:space="0" w:color="61BC4D"/>
            </w:tcBorders>
            <w:vAlign w:val="center"/>
            <w:hideMark/>
          </w:tcPr>
          <w:p w14:paraId="577C6AC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4.7, 4.1</w:t>
            </w:r>
          </w:p>
        </w:tc>
      </w:tr>
      <w:tr w:rsidR="00157DE1" w:rsidRPr="00CB4D41" w14:paraId="1C2A8C50" w14:textId="77777777" w:rsidTr="00610F0B">
        <w:trPr>
          <w:trHeight w:val="1050"/>
        </w:trPr>
        <w:tc>
          <w:tcPr>
            <w:tcW w:w="1134" w:type="dxa"/>
            <w:tcBorders>
              <w:top w:val="nil"/>
              <w:left w:val="nil"/>
              <w:bottom w:val="single" w:sz="8" w:space="0" w:color="61BC4D"/>
              <w:right w:val="single" w:sz="8" w:space="0" w:color="61BC4D"/>
            </w:tcBorders>
            <w:vAlign w:val="center"/>
            <w:hideMark/>
          </w:tcPr>
          <w:p w14:paraId="70565CA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w:t>
            </w:r>
          </w:p>
        </w:tc>
        <w:tc>
          <w:tcPr>
            <w:tcW w:w="1560" w:type="dxa"/>
            <w:tcBorders>
              <w:top w:val="nil"/>
              <w:left w:val="nil"/>
              <w:bottom w:val="single" w:sz="8" w:space="0" w:color="61BC4D"/>
              <w:right w:val="single" w:sz="8" w:space="0" w:color="61BC4D"/>
            </w:tcBorders>
            <w:vAlign w:val="center"/>
            <w:hideMark/>
          </w:tcPr>
          <w:p w14:paraId="3C2DA0B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Coordination interinstitutionnelle pour la transmission des données à l'ITIE</w:t>
            </w:r>
          </w:p>
        </w:tc>
        <w:tc>
          <w:tcPr>
            <w:tcW w:w="1985" w:type="dxa"/>
            <w:tcBorders>
              <w:top w:val="nil"/>
              <w:left w:val="nil"/>
              <w:bottom w:val="single" w:sz="8" w:space="0" w:color="61BC4D"/>
              <w:right w:val="single" w:sz="8" w:space="0" w:color="61BC4D"/>
            </w:tcBorders>
            <w:vAlign w:val="center"/>
            <w:hideMark/>
          </w:tcPr>
          <w:p w14:paraId="3D7BD79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Transmission irrégulière et non formalisée des données consolidées au Comité ITIE</w:t>
            </w:r>
          </w:p>
        </w:tc>
        <w:tc>
          <w:tcPr>
            <w:tcW w:w="2268" w:type="dxa"/>
            <w:tcBorders>
              <w:top w:val="nil"/>
              <w:left w:val="nil"/>
              <w:bottom w:val="single" w:sz="8" w:space="0" w:color="61BC4D"/>
              <w:right w:val="single" w:sz="8" w:space="0" w:color="61BC4D"/>
            </w:tcBorders>
            <w:vAlign w:val="center"/>
            <w:hideMark/>
          </w:tcPr>
          <w:p w14:paraId="530B65E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Formaliser un protocole périodique de transmission des données consolidées au STP-ITIE pour leur publication régulière</w:t>
            </w:r>
          </w:p>
        </w:tc>
        <w:tc>
          <w:tcPr>
            <w:tcW w:w="1560" w:type="dxa"/>
            <w:tcBorders>
              <w:top w:val="nil"/>
              <w:left w:val="nil"/>
              <w:bottom w:val="single" w:sz="8" w:space="0" w:color="61BC4D"/>
              <w:right w:val="single" w:sz="8" w:space="0" w:color="61BC4D"/>
            </w:tcBorders>
            <w:vAlign w:val="center"/>
            <w:hideMark/>
          </w:tcPr>
          <w:p w14:paraId="7751D7F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 Comité ITIE, MINFI</w:t>
            </w:r>
          </w:p>
        </w:tc>
        <w:tc>
          <w:tcPr>
            <w:tcW w:w="850" w:type="dxa"/>
            <w:tcBorders>
              <w:top w:val="nil"/>
              <w:left w:val="nil"/>
              <w:bottom w:val="single" w:sz="8" w:space="0" w:color="61BC4D"/>
              <w:right w:val="single" w:sz="8" w:space="0" w:color="61BC4D"/>
            </w:tcBorders>
            <w:vAlign w:val="center"/>
            <w:hideMark/>
          </w:tcPr>
          <w:p w14:paraId="19D5FDCA"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3</w:t>
            </w:r>
          </w:p>
        </w:tc>
        <w:tc>
          <w:tcPr>
            <w:tcW w:w="992" w:type="dxa"/>
            <w:tcBorders>
              <w:top w:val="nil"/>
              <w:left w:val="nil"/>
              <w:bottom w:val="single" w:sz="8" w:space="0" w:color="61BC4D"/>
              <w:right w:val="single" w:sz="8" w:space="0" w:color="61BC4D"/>
            </w:tcBorders>
            <w:vAlign w:val="center"/>
            <w:hideMark/>
          </w:tcPr>
          <w:p w14:paraId="4175DB9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6175117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w:t>
            </w:r>
          </w:p>
        </w:tc>
        <w:tc>
          <w:tcPr>
            <w:tcW w:w="1417" w:type="dxa"/>
            <w:tcBorders>
              <w:top w:val="nil"/>
              <w:left w:val="nil"/>
              <w:bottom w:val="single" w:sz="8" w:space="0" w:color="61BC4D"/>
              <w:right w:val="single" w:sz="8" w:space="0" w:color="61BC4D"/>
            </w:tcBorders>
            <w:vAlign w:val="center"/>
            <w:hideMark/>
          </w:tcPr>
          <w:p w14:paraId="632B8FC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 réactivité interne, retard administratif</w:t>
            </w:r>
          </w:p>
        </w:tc>
        <w:tc>
          <w:tcPr>
            <w:tcW w:w="851" w:type="dxa"/>
            <w:tcBorders>
              <w:top w:val="nil"/>
              <w:left w:val="nil"/>
              <w:bottom w:val="single" w:sz="8" w:space="0" w:color="61BC4D"/>
              <w:right w:val="single" w:sz="8" w:space="0" w:color="61BC4D"/>
            </w:tcBorders>
            <w:vAlign w:val="center"/>
            <w:hideMark/>
          </w:tcPr>
          <w:p w14:paraId="193833D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4.1, 7.2</w:t>
            </w:r>
          </w:p>
        </w:tc>
      </w:tr>
      <w:tr w:rsidR="00157DE1" w:rsidRPr="00CB4D41" w14:paraId="14515230"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2755A98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w:t>
            </w:r>
          </w:p>
        </w:tc>
        <w:tc>
          <w:tcPr>
            <w:tcW w:w="1560" w:type="dxa"/>
            <w:tcBorders>
              <w:top w:val="nil"/>
              <w:left w:val="nil"/>
              <w:bottom w:val="single" w:sz="8" w:space="0" w:color="61BC4D"/>
              <w:right w:val="single" w:sz="8" w:space="0" w:color="61BC4D"/>
            </w:tcBorders>
            <w:vAlign w:val="center"/>
            <w:hideMark/>
          </w:tcPr>
          <w:p w14:paraId="1C55C9C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Renforcement des capacités en divulgation et Norme ITIE</w:t>
            </w:r>
          </w:p>
        </w:tc>
        <w:tc>
          <w:tcPr>
            <w:tcW w:w="1985" w:type="dxa"/>
            <w:tcBorders>
              <w:top w:val="nil"/>
              <w:left w:val="nil"/>
              <w:bottom w:val="single" w:sz="8" w:space="0" w:color="61BC4D"/>
              <w:right w:val="single" w:sz="8" w:space="0" w:color="61BC4D"/>
            </w:tcBorders>
            <w:vAlign w:val="center"/>
            <w:hideMark/>
          </w:tcPr>
          <w:p w14:paraId="2229DAE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Insuffisance de formation sur la norme ITIE et les bonnes pratiques de structuration des données</w:t>
            </w:r>
          </w:p>
        </w:tc>
        <w:tc>
          <w:tcPr>
            <w:tcW w:w="2268" w:type="dxa"/>
            <w:tcBorders>
              <w:top w:val="nil"/>
              <w:left w:val="nil"/>
              <w:bottom w:val="single" w:sz="8" w:space="0" w:color="61BC4D"/>
              <w:right w:val="single" w:sz="8" w:space="0" w:color="61BC4D"/>
            </w:tcBorders>
            <w:vAlign w:val="center"/>
            <w:hideMark/>
          </w:tcPr>
          <w:p w14:paraId="3AC008C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Intégrer la DGD dans les ateliers interinstitutionnels de renforcement des capacités sur la norme ITIE</w:t>
            </w:r>
          </w:p>
        </w:tc>
        <w:tc>
          <w:tcPr>
            <w:tcW w:w="1560" w:type="dxa"/>
            <w:tcBorders>
              <w:top w:val="nil"/>
              <w:left w:val="nil"/>
              <w:bottom w:val="single" w:sz="8" w:space="0" w:color="61BC4D"/>
              <w:right w:val="single" w:sz="8" w:space="0" w:color="61BC4D"/>
            </w:tcBorders>
            <w:vAlign w:val="center"/>
            <w:hideMark/>
          </w:tcPr>
          <w:p w14:paraId="741D252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DGD, Comité ITIE, experts externes</w:t>
            </w:r>
          </w:p>
        </w:tc>
        <w:tc>
          <w:tcPr>
            <w:tcW w:w="850" w:type="dxa"/>
            <w:tcBorders>
              <w:top w:val="nil"/>
              <w:left w:val="nil"/>
              <w:bottom w:val="single" w:sz="8" w:space="0" w:color="61BC4D"/>
              <w:right w:val="single" w:sz="8" w:space="0" w:color="61BC4D"/>
            </w:tcBorders>
            <w:vAlign w:val="center"/>
            <w:hideMark/>
          </w:tcPr>
          <w:p w14:paraId="1D278D8F"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116E5D9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520893D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Ateliers, consultants, matériel pédagogique (15 MFCFA)</w:t>
            </w:r>
          </w:p>
        </w:tc>
        <w:tc>
          <w:tcPr>
            <w:tcW w:w="1417" w:type="dxa"/>
            <w:tcBorders>
              <w:top w:val="nil"/>
              <w:left w:val="nil"/>
              <w:bottom w:val="single" w:sz="8" w:space="0" w:color="61BC4D"/>
              <w:right w:val="single" w:sz="8" w:space="0" w:color="61BC4D"/>
            </w:tcBorders>
            <w:vAlign w:val="center"/>
            <w:hideMark/>
          </w:tcPr>
          <w:p w14:paraId="2E1C64D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Rotation du personnel formé</w:t>
            </w:r>
          </w:p>
        </w:tc>
        <w:tc>
          <w:tcPr>
            <w:tcW w:w="851" w:type="dxa"/>
            <w:tcBorders>
              <w:top w:val="nil"/>
              <w:left w:val="nil"/>
              <w:bottom w:val="single" w:sz="8" w:space="0" w:color="61BC4D"/>
              <w:right w:val="single" w:sz="8" w:space="0" w:color="61BC4D"/>
            </w:tcBorders>
            <w:vAlign w:val="center"/>
            <w:hideMark/>
          </w:tcPr>
          <w:p w14:paraId="1256504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7.2</w:t>
            </w:r>
          </w:p>
        </w:tc>
      </w:tr>
      <w:tr w:rsidR="00157DE1" w:rsidRPr="00CB4D41" w14:paraId="39F66811"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0ECAB1F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SONAMINE</w:t>
            </w:r>
          </w:p>
        </w:tc>
        <w:tc>
          <w:tcPr>
            <w:tcW w:w="1560" w:type="dxa"/>
            <w:tcBorders>
              <w:top w:val="nil"/>
              <w:left w:val="nil"/>
              <w:bottom w:val="single" w:sz="8" w:space="0" w:color="61BC4D"/>
              <w:right w:val="single" w:sz="8" w:space="0" w:color="61BC4D"/>
            </w:tcBorders>
            <w:vAlign w:val="center"/>
            <w:hideMark/>
          </w:tcPr>
          <w:p w14:paraId="111AF36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États financiers</w:t>
            </w:r>
          </w:p>
        </w:tc>
        <w:tc>
          <w:tcPr>
            <w:tcW w:w="1985" w:type="dxa"/>
            <w:tcBorders>
              <w:top w:val="nil"/>
              <w:left w:val="nil"/>
              <w:bottom w:val="single" w:sz="8" w:space="0" w:color="61BC4D"/>
              <w:right w:val="single" w:sz="8" w:space="0" w:color="61BC4D"/>
            </w:tcBorders>
            <w:vAlign w:val="center"/>
            <w:hideMark/>
          </w:tcPr>
          <w:p w14:paraId="51F79A1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Non publication due à des décisions internes</w:t>
            </w:r>
          </w:p>
        </w:tc>
        <w:tc>
          <w:tcPr>
            <w:tcW w:w="2268" w:type="dxa"/>
            <w:tcBorders>
              <w:top w:val="nil"/>
              <w:left w:val="nil"/>
              <w:bottom w:val="single" w:sz="8" w:space="0" w:color="61BC4D"/>
              <w:right w:val="single" w:sz="8" w:space="0" w:color="61BC4D"/>
            </w:tcBorders>
            <w:vAlign w:val="center"/>
            <w:hideMark/>
          </w:tcPr>
          <w:p w14:paraId="22E04E7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Établir un calendrier annuel de publication des états financiers et rapports de gestion</w:t>
            </w:r>
          </w:p>
        </w:tc>
        <w:tc>
          <w:tcPr>
            <w:tcW w:w="1560" w:type="dxa"/>
            <w:tcBorders>
              <w:top w:val="nil"/>
              <w:left w:val="nil"/>
              <w:bottom w:val="single" w:sz="8" w:space="0" w:color="61BC4D"/>
              <w:right w:val="single" w:sz="8" w:space="0" w:color="61BC4D"/>
            </w:tcBorders>
            <w:vAlign w:val="center"/>
            <w:hideMark/>
          </w:tcPr>
          <w:p w14:paraId="122FBFD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 MINFI</w:t>
            </w:r>
          </w:p>
        </w:tc>
        <w:tc>
          <w:tcPr>
            <w:tcW w:w="850" w:type="dxa"/>
            <w:tcBorders>
              <w:top w:val="nil"/>
              <w:left w:val="nil"/>
              <w:bottom w:val="single" w:sz="8" w:space="0" w:color="61BC4D"/>
              <w:right w:val="single" w:sz="8" w:space="0" w:color="61BC4D"/>
            </w:tcBorders>
            <w:vAlign w:val="center"/>
            <w:hideMark/>
          </w:tcPr>
          <w:p w14:paraId="4CE072CD"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59A1036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110D6E7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w:t>
            </w:r>
          </w:p>
        </w:tc>
        <w:tc>
          <w:tcPr>
            <w:tcW w:w="1417" w:type="dxa"/>
            <w:tcBorders>
              <w:top w:val="nil"/>
              <w:left w:val="nil"/>
              <w:bottom w:val="single" w:sz="8" w:space="0" w:color="61BC4D"/>
              <w:right w:val="single" w:sz="8" w:space="0" w:color="61BC4D"/>
            </w:tcBorders>
            <w:vAlign w:val="center"/>
            <w:hideMark/>
          </w:tcPr>
          <w:p w14:paraId="4B53034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Blocages institutionnels</w:t>
            </w:r>
          </w:p>
        </w:tc>
        <w:tc>
          <w:tcPr>
            <w:tcW w:w="851" w:type="dxa"/>
            <w:tcBorders>
              <w:top w:val="nil"/>
              <w:left w:val="nil"/>
              <w:bottom w:val="single" w:sz="8" w:space="0" w:color="61BC4D"/>
              <w:right w:val="single" w:sz="8" w:space="0" w:color="61BC4D"/>
            </w:tcBorders>
            <w:vAlign w:val="center"/>
            <w:hideMark/>
          </w:tcPr>
          <w:p w14:paraId="4AB26C6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2.6</w:t>
            </w:r>
          </w:p>
        </w:tc>
      </w:tr>
      <w:tr w:rsidR="00157DE1" w:rsidRPr="00CB4D41" w14:paraId="479A2F35"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3D031F2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w:t>
            </w:r>
          </w:p>
        </w:tc>
        <w:tc>
          <w:tcPr>
            <w:tcW w:w="1560" w:type="dxa"/>
            <w:tcBorders>
              <w:top w:val="nil"/>
              <w:left w:val="nil"/>
              <w:bottom w:val="single" w:sz="8" w:space="0" w:color="61BC4D"/>
              <w:right w:val="single" w:sz="8" w:space="0" w:color="61BC4D"/>
            </w:tcBorders>
            <w:vAlign w:val="center"/>
            <w:hideMark/>
          </w:tcPr>
          <w:p w14:paraId="3BCFFAB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Publication des achats</w:t>
            </w:r>
          </w:p>
        </w:tc>
        <w:tc>
          <w:tcPr>
            <w:tcW w:w="1985" w:type="dxa"/>
            <w:tcBorders>
              <w:top w:val="nil"/>
              <w:left w:val="nil"/>
              <w:bottom w:val="single" w:sz="8" w:space="0" w:color="61BC4D"/>
              <w:right w:val="single" w:sz="8" w:space="0" w:color="61BC4D"/>
            </w:tcBorders>
            <w:vAlign w:val="center"/>
            <w:hideMark/>
          </w:tcPr>
          <w:p w14:paraId="34D2BBA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Transparence partielle des appels d’offres</w:t>
            </w:r>
          </w:p>
        </w:tc>
        <w:tc>
          <w:tcPr>
            <w:tcW w:w="2268" w:type="dxa"/>
            <w:tcBorders>
              <w:top w:val="nil"/>
              <w:left w:val="nil"/>
              <w:bottom w:val="single" w:sz="8" w:space="0" w:color="61BC4D"/>
              <w:right w:val="single" w:sz="8" w:space="0" w:color="61BC4D"/>
            </w:tcBorders>
            <w:vAlign w:val="center"/>
            <w:hideMark/>
          </w:tcPr>
          <w:p w14:paraId="1376398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Publier périodiquement les résultats d'appels d'offres et fournisseurs retenus</w:t>
            </w:r>
          </w:p>
        </w:tc>
        <w:tc>
          <w:tcPr>
            <w:tcW w:w="1560" w:type="dxa"/>
            <w:tcBorders>
              <w:top w:val="nil"/>
              <w:left w:val="nil"/>
              <w:bottom w:val="single" w:sz="8" w:space="0" w:color="61BC4D"/>
              <w:right w:val="single" w:sz="8" w:space="0" w:color="61BC4D"/>
            </w:tcBorders>
            <w:vAlign w:val="center"/>
            <w:hideMark/>
          </w:tcPr>
          <w:p w14:paraId="3989E8E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w:t>
            </w:r>
          </w:p>
        </w:tc>
        <w:tc>
          <w:tcPr>
            <w:tcW w:w="850" w:type="dxa"/>
            <w:tcBorders>
              <w:top w:val="nil"/>
              <w:left w:val="nil"/>
              <w:bottom w:val="single" w:sz="8" w:space="0" w:color="61BC4D"/>
              <w:right w:val="single" w:sz="8" w:space="0" w:color="61BC4D"/>
            </w:tcBorders>
            <w:vAlign w:val="center"/>
            <w:hideMark/>
          </w:tcPr>
          <w:p w14:paraId="7AB8BF3B"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1C8D280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6E46710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w:t>
            </w:r>
          </w:p>
        </w:tc>
        <w:tc>
          <w:tcPr>
            <w:tcW w:w="1417" w:type="dxa"/>
            <w:tcBorders>
              <w:top w:val="nil"/>
              <w:left w:val="nil"/>
              <w:bottom w:val="single" w:sz="8" w:space="0" w:color="61BC4D"/>
              <w:right w:val="single" w:sz="8" w:space="0" w:color="61BC4D"/>
            </w:tcBorders>
            <w:vAlign w:val="center"/>
            <w:hideMark/>
          </w:tcPr>
          <w:p w14:paraId="1F6B38D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de volonté interne</w:t>
            </w:r>
          </w:p>
        </w:tc>
        <w:tc>
          <w:tcPr>
            <w:tcW w:w="851" w:type="dxa"/>
            <w:tcBorders>
              <w:top w:val="nil"/>
              <w:left w:val="nil"/>
              <w:bottom w:val="single" w:sz="8" w:space="0" w:color="61BC4D"/>
              <w:right w:val="single" w:sz="8" w:space="0" w:color="61BC4D"/>
            </w:tcBorders>
            <w:vAlign w:val="center"/>
            <w:hideMark/>
          </w:tcPr>
          <w:p w14:paraId="6F70708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5.1</w:t>
            </w:r>
          </w:p>
        </w:tc>
      </w:tr>
      <w:tr w:rsidR="00157DE1" w:rsidRPr="00CB4D41" w14:paraId="3ADA72AA"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0111CC6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w:t>
            </w:r>
          </w:p>
        </w:tc>
        <w:tc>
          <w:tcPr>
            <w:tcW w:w="1560" w:type="dxa"/>
            <w:tcBorders>
              <w:top w:val="nil"/>
              <w:left w:val="nil"/>
              <w:bottom w:val="single" w:sz="8" w:space="0" w:color="61BC4D"/>
              <w:right w:val="single" w:sz="8" w:space="0" w:color="61BC4D"/>
            </w:tcBorders>
            <w:vAlign w:val="center"/>
            <w:hideMark/>
          </w:tcPr>
          <w:p w14:paraId="22DBAEE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Intégrité et lutte contre la corruption</w:t>
            </w:r>
          </w:p>
        </w:tc>
        <w:tc>
          <w:tcPr>
            <w:tcW w:w="1985" w:type="dxa"/>
            <w:tcBorders>
              <w:top w:val="nil"/>
              <w:left w:val="nil"/>
              <w:bottom w:val="single" w:sz="8" w:space="0" w:color="61BC4D"/>
              <w:right w:val="single" w:sz="8" w:space="0" w:color="61BC4D"/>
            </w:tcBorders>
            <w:vAlign w:val="center"/>
            <w:hideMark/>
          </w:tcPr>
          <w:p w14:paraId="60D2078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Politique anticorruption non encore adoptée</w:t>
            </w:r>
          </w:p>
        </w:tc>
        <w:tc>
          <w:tcPr>
            <w:tcW w:w="2268" w:type="dxa"/>
            <w:tcBorders>
              <w:top w:val="nil"/>
              <w:left w:val="nil"/>
              <w:bottom w:val="single" w:sz="8" w:space="0" w:color="61BC4D"/>
              <w:right w:val="single" w:sz="8" w:space="0" w:color="61BC4D"/>
            </w:tcBorders>
            <w:vAlign w:val="center"/>
            <w:hideMark/>
          </w:tcPr>
          <w:p w14:paraId="74776DB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Finaliser et intégrer la politique dans le système de gestion des données</w:t>
            </w:r>
          </w:p>
        </w:tc>
        <w:tc>
          <w:tcPr>
            <w:tcW w:w="1560" w:type="dxa"/>
            <w:tcBorders>
              <w:top w:val="nil"/>
              <w:left w:val="nil"/>
              <w:bottom w:val="single" w:sz="8" w:space="0" w:color="61BC4D"/>
              <w:right w:val="single" w:sz="8" w:space="0" w:color="61BC4D"/>
            </w:tcBorders>
            <w:vAlign w:val="center"/>
            <w:hideMark/>
          </w:tcPr>
          <w:p w14:paraId="24B8F95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 CONAC</w:t>
            </w:r>
          </w:p>
        </w:tc>
        <w:tc>
          <w:tcPr>
            <w:tcW w:w="850" w:type="dxa"/>
            <w:tcBorders>
              <w:top w:val="nil"/>
              <w:left w:val="nil"/>
              <w:bottom w:val="single" w:sz="8" w:space="0" w:color="61BC4D"/>
              <w:right w:val="single" w:sz="8" w:space="0" w:color="61BC4D"/>
            </w:tcBorders>
            <w:vAlign w:val="center"/>
            <w:hideMark/>
          </w:tcPr>
          <w:p w14:paraId="674191BC"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9</w:t>
            </w:r>
          </w:p>
        </w:tc>
        <w:tc>
          <w:tcPr>
            <w:tcW w:w="992" w:type="dxa"/>
            <w:tcBorders>
              <w:top w:val="nil"/>
              <w:left w:val="nil"/>
              <w:bottom w:val="single" w:sz="8" w:space="0" w:color="61BC4D"/>
              <w:right w:val="single" w:sz="8" w:space="0" w:color="61BC4D"/>
            </w:tcBorders>
            <w:vAlign w:val="center"/>
            <w:hideMark/>
          </w:tcPr>
          <w:p w14:paraId="5980B60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39D5325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w:t>
            </w:r>
          </w:p>
        </w:tc>
        <w:tc>
          <w:tcPr>
            <w:tcW w:w="1417" w:type="dxa"/>
            <w:tcBorders>
              <w:top w:val="nil"/>
              <w:left w:val="nil"/>
              <w:bottom w:val="single" w:sz="8" w:space="0" w:color="61BC4D"/>
              <w:right w:val="single" w:sz="8" w:space="0" w:color="61BC4D"/>
            </w:tcBorders>
            <w:vAlign w:val="center"/>
            <w:hideMark/>
          </w:tcPr>
          <w:p w14:paraId="42F92C1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 institutionnel</w:t>
            </w:r>
          </w:p>
        </w:tc>
        <w:tc>
          <w:tcPr>
            <w:tcW w:w="851" w:type="dxa"/>
            <w:tcBorders>
              <w:top w:val="nil"/>
              <w:left w:val="nil"/>
              <w:bottom w:val="single" w:sz="8" w:space="0" w:color="61BC4D"/>
              <w:right w:val="single" w:sz="8" w:space="0" w:color="61BC4D"/>
            </w:tcBorders>
            <w:vAlign w:val="center"/>
            <w:hideMark/>
          </w:tcPr>
          <w:p w14:paraId="6C1D4B3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1.1</w:t>
            </w:r>
          </w:p>
        </w:tc>
      </w:tr>
      <w:tr w:rsidR="00157DE1" w:rsidRPr="00CB4D41" w14:paraId="542EEC94"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696DB1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w:t>
            </w:r>
          </w:p>
        </w:tc>
        <w:tc>
          <w:tcPr>
            <w:tcW w:w="1560" w:type="dxa"/>
            <w:tcBorders>
              <w:top w:val="nil"/>
              <w:left w:val="nil"/>
              <w:bottom w:val="single" w:sz="8" w:space="0" w:color="61BC4D"/>
              <w:right w:val="single" w:sz="8" w:space="0" w:color="61BC4D"/>
            </w:tcBorders>
            <w:vAlign w:val="center"/>
            <w:hideMark/>
          </w:tcPr>
          <w:p w14:paraId="304EFC6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Gestion fiscale et parafiscale</w:t>
            </w:r>
          </w:p>
        </w:tc>
        <w:tc>
          <w:tcPr>
            <w:tcW w:w="1985" w:type="dxa"/>
            <w:tcBorders>
              <w:top w:val="nil"/>
              <w:left w:val="nil"/>
              <w:bottom w:val="single" w:sz="8" w:space="0" w:color="61BC4D"/>
              <w:right w:val="single" w:sz="8" w:space="0" w:color="61BC4D"/>
            </w:tcBorders>
            <w:vAlign w:val="center"/>
            <w:hideMark/>
          </w:tcPr>
          <w:p w14:paraId="6136D80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Absence de textes d’application du mandat fiscal</w:t>
            </w:r>
          </w:p>
        </w:tc>
        <w:tc>
          <w:tcPr>
            <w:tcW w:w="2268" w:type="dxa"/>
            <w:tcBorders>
              <w:top w:val="nil"/>
              <w:left w:val="nil"/>
              <w:bottom w:val="single" w:sz="8" w:space="0" w:color="61BC4D"/>
              <w:right w:val="single" w:sz="8" w:space="0" w:color="61BC4D"/>
            </w:tcBorders>
            <w:vAlign w:val="center"/>
            <w:hideMark/>
          </w:tcPr>
          <w:p w14:paraId="100B97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Publier les décisions du MINFI et intégrer les données fiscales dans les rapports sectoriels</w:t>
            </w:r>
          </w:p>
        </w:tc>
        <w:tc>
          <w:tcPr>
            <w:tcW w:w="1560" w:type="dxa"/>
            <w:tcBorders>
              <w:top w:val="nil"/>
              <w:left w:val="nil"/>
              <w:bottom w:val="single" w:sz="8" w:space="0" w:color="61BC4D"/>
              <w:right w:val="single" w:sz="8" w:space="0" w:color="61BC4D"/>
            </w:tcBorders>
            <w:vAlign w:val="center"/>
            <w:hideMark/>
          </w:tcPr>
          <w:p w14:paraId="27D16A0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 MINFI</w:t>
            </w:r>
          </w:p>
        </w:tc>
        <w:tc>
          <w:tcPr>
            <w:tcW w:w="850" w:type="dxa"/>
            <w:tcBorders>
              <w:top w:val="nil"/>
              <w:left w:val="nil"/>
              <w:bottom w:val="single" w:sz="8" w:space="0" w:color="61BC4D"/>
              <w:right w:val="single" w:sz="8" w:space="0" w:color="61BC4D"/>
            </w:tcBorders>
            <w:vAlign w:val="center"/>
            <w:hideMark/>
          </w:tcPr>
          <w:p w14:paraId="27DE123F"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0D6EC41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D6591F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w:t>
            </w:r>
          </w:p>
        </w:tc>
        <w:tc>
          <w:tcPr>
            <w:tcW w:w="1417" w:type="dxa"/>
            <w:tcBorders>
              <w:top w:val="nil"/>
              <w:left w:val="nil"/>
              <w:bottom w:val="single" w:sz="8" w:space="0" w:color="61BC4D"/>
              <w:right w:val="single" w:sz="8" w:space="0" w:color="61BC4D"/>
            </w:tcBorders>
            <w:vAlign w:val="center"/>
            <w:hideMark/>
          </w:tcPr>
          <w:p w14:paraId="6C9D112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Ambiguïté juridique</w:t>
            </w:r>
          </w:p>
        </w:tc>
        <w:tc>
          <w:tcPr>
            <w:tcW w:w="851" w:type="dxa"/>
            <w:tcBorders>
              <w:top w:val="nil"/>
              <w:left w:val="nil"/>
              <w:bottom w:val="single" w:sz="8" w:space="0" w:color="61BC4D"/>
              <w:right w:val="single" w:sz="8" w:space="0" w:color="61BC4D"/>
            </w:tcBorders>
            <w:vAlign w:val="center"/>
            <w:hideMark/>
          </w:tcPr>
          <w:p w14:paraId="60A9264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4.1, 4.9</w:t>
            </w:r>
          </w:p>
        </w:tc>
      </w:tr>
      <w:tr w:rsidR="00157DE1" w:rsidRPr="00CB4D41" w14:paraId="0AC9F543"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2736C1B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w:t>
            </w:r>
          </w:p>
        </w:tc>
        <w:tc>
          <w:tcPr>
            <w:tcW w:w="1560" w:type="dxa"/>
            <w:tcBorders>
              <w:top w:val="nil"/>
              <w:left w:val="nil"/>
              <w:bottom w:val="single" w:sz="8" w:space="0" w:color="61BC4D"/>
              <w:right w:val="single" w:sz="8" w:space="0" w:color="61BC4D"/>
            </w:tcBorders>
            <w:vAlign w:val="center"/>
            <w:hideMark/>
          </w:tcPr>
          <w:p w14:paraId="7AB3063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Gestion des parts de production</w:t>
            </w:r>
          </w:p>
        </w:tc>
        <w:tc>
          <w:tcPr>
            <w:tcW w:w="1985" w:type="dxa"/>
            <w:tcBorders>
              <w:top w:val="nil"/>
              <w:left w:val="nil"/>
              <w:bottom w:val="single" w:sz="8" w:space="0" w:color="61BC4D"/>
              <w:right w:val="single" w:sz="8" w:space="0" w:color="61BC4D"/>
            </w:tcBorders>
            <w:vAlign w:val="center"/>
            <w:hideMark/>
          </w:tcPr>
          <w:p w14:paraId="4102394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Pas de cadre juridique et opérationnel défini</w:t>
            </w:r>
          </w:p>
        </w:tc>
        <w:tc>
          <w:tcPr>
            <w:tcW w:w="2268" w:type="dxa"/>
            <w:tcBorders>
              <w:top w:val="nil"/>
              <w:left w:val="nil"/>
              <w:bottom w:val="single" w:sz="8" w:space="0" w:color="61BC4D"/>
              <w:right w:val="single" w:sz="8" w:space="0" w:color="61BC4D"/>
            </w:tcBorders>
            <w:vAlign w:val="center"/>
            <w:hideMark/>
          </w:tcPr>
          <w:p w14:paraId="0D5D509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Définir formellement les modalités de gestion des parts de production</w:t>
            </w:r>
          </w:p>
        </w:tc>
        <w:tc>
          <w:tcPr>
            <w:tcW w:w="1560" w:type="dxa"/>
            <w:tcBorders>
              <w:top w:val="nil"/>
              <w:left w:val="nil"/>
              <w:bottom w:val="single" w:sz="8" w:space="0" w:color="61BC4D"/>
              <w:right w:val="single" w:sz="8" w:space="0" w:color="61BC4D"/>
            </w:tcBorders>
            <w:vAlign w:val="center"/>
            <w:hideMark/>
          </w:tcPr>
          <w:p w14:paraId="4FE8550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SONAMINE, MINFI</w:t>
            </w:r>
          </w:p>
        </w:tc>
        <w:tc>
          <w:tcPr>
            <w:tcW w:w="850" w:type="dxa"/>
            <w:tcBorders>
              <w:top w:val="nil"/>
              <w:left w:val="nil"/>
              <w:bottom w:val="single" w:sz="8" w:space="0" w:color="61BC4D"/>
              <w:right w:val="single" w:sz="8" w:space="0" w:color="61BC4D"/>
            </w:tcBorders>
            <w:vAlign w:val="center"/>
            <w:hideMark/>
          </w:tcPr>
          <w:p w14:paraId="1F1256D8"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1D9A4E8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43C32B0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(réunions, expertise juridique) </w:t>
            </w:r>
          </w:p>
        </w:tc>
        <w:tc>
          <w:tcPr>
            <w:tcW w:w="1417" w:type="dxa"/>
            <w:tcBorders>
              <w:top w:val="nil"/>
              <w:left w:val="nil"/>
              <w:bottom w:val="single" w:sz="8" w:space="0" w:color="61BC4D"/>
              <w:right w:val="single" w:sz="8" w:space="0" w:color="61BC4D"/>
            </w:tcBorders>
            <w:vAlign w:val="center"/>
            <w:hideMark/>
          </w:tcPr>
          <w:p w14:paraId="31571F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Blocages juridiques</w:t>
            </w:r>
          </w:p>
        </w:tc>
        <w:tc>
          <w:tcPr>
            <w:tcW w:w="851" w:type="dxa"/>
            <w:tcBorders>
              <w:top w:val="nil"/>
              <w:left w:val="nil"/>
              <w:bottom w:val="single" w:sz="8" w:space="0" w:color="61BC4D"/>
              <w:right w:val="single" w:sz="8" w:space="0" w:color="61BC4D"/>
            </w:tcBorders>
            <w:vAlign w:val="center"/>
            <w:hideMark/>
          </w:tcPr>
          <w:p w14:paraId="7671E77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4.1, 4.2</w:t>
            </w:r>
          </w:p>
        </w:tc>
      </w:tr>
      <w:tr w:rsidR="00157DE1" w:rsidRPr="00CB4D41" w14:paraId="5E1C4F1E"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00D2B8D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w:t>
            </w:r>
          </w:p>
        </w:tc>
        <w:tc>
          <w:tcPr>
            <w:tcW w:w="1560" w:type="dxa"/>
            <w:tcBorders>
              <w:top w:val="nil"/>
              <w:left w:val="nil"/>
              <w:bottom w:val="single" w:sz="8" w:space="0" w:color="61BC4D"/>
              <w:right w:val="single" w:sz="8" w:space="0" w:color="61BC4D"/>
            </w:tcBorders>
            <w:vAlign w:val="center"/>
            <w:hideMark/>
          </w:tcPr>
          <w:p w14:paraId="2F0933F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États financiers</w:t>
            </w:r>
          </w:p>
        </w:tc>
        <w:tc>
          <w:tcPr>
            <w:tcW w:w="1985" w:type="dxa"/>
            <w:tcBorders>
              <w:top w:val="nil"/>
              <w:left w:val="nil"/>
              <w:bottom w:val="single" w:sz="8" w:space="0" w:color="61BC4D"/>
              <w:right w:val="single" w:sz="8" w:space="0" w:color="61BC4D"/>
            </w:tcBorders>
            <w:vAlign w:val="center"/>
            <w:hideMark/>
          </w:tcPr>
          <w:p w14:paraId="0F1A94B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Contraintes levées mais non publiés</w:t>
            </w:r>
          </w:p>
        </w:tc>
        <w:tc>
          <w:tcPr>
            <w:tcW w:w="2268" w:type="dxa"/>
            <w:tcBorders>
              <w:top w:val="nil"/>
              <w:left w:val="nil"/>
              <w:bottom w:val="single" w:sz="8" w:space="0" w:color="61BC4D"/>
              <w:right w:val="single" w:sz="8" w:space="0" w:color="61BC4D"/>
            </w:tcBorders>
            <w:vAlign w:val="center"/>
            <w:hideMark/>
          </w:tcPr>
          <w:p w14:paraId="09C838F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Mettre en ligne les états financiers </w:t>
            </w:r>
            <w:r w:rsidRPr="00B74738">
              <w:rPr>
                <w:rFonts w:ascii="Kohinoor Devanagari" w:eastAsia="Times New Roman" w:hAnsi="Kohinoor Devanagari" w:cs="Kohinoor Devanagari"/>
                <w:color w:val="0D0D0D"/>
                <w:kern w:val="0"/>
                <w:sz w:val="19"/>
                <w:szCs w:val="19"/>
                <w:lang w:eastAsia="fr-FR"/>
                <w14:ligatures w14:val="none"/>
              </w:rPr>
              <w:lastRenderedPageBreak/>
              <w:t>annuels en format exploitable</w:t>
            </w:r>
          </w:p>
        </w:tc>
        <w:tc>
          <w:tcPr>
            <w:tcW w:w="1560" w:type="dxa"/>
            <w:tcBorders>
              <w:top w:val="nil"/>
              <w:left w:val="nil"/>
              <w:bottom w:val="single" w:sz="8" w:space="0" w:color="61BC4D"/>
              <w:right w:val="single" w:sz="8" w:space="0" w:color="61BC4D"/>
            </w:tcBorders>
            <w:vAlign w:val="center"/>
            <w:hideMark/>
          </w:tcPr>
          <w:p w14:paraId="613E1CF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SNH</w:t>
            </w:r>
          </w:p>
        </w:tc>
        <w:tc>
          <w:tcPr>
            <w:tcW w:w="850" w:type="dxa"/>
            <w:tcBorders>
              <w:top w:val="nil"/>
              <w:left w:val="nil"/>
              <w:bottom w:val="single" w:sz="8" w:space="0" w:color="61BC4D"/>
              <w:right w:val="single" w:sz="8" w:space="0" w:color="61BC4D"/>
            </w:tcBorders>
            <w:vAlign w:val="center"/>
            <w:hideMark/>
          </w:tcPr>
          <w:p w14:paraId="26E9AE32"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3</w:t>
            </w:r>
          </w:p>
        </w:tc>
        <w:tc>
          <w:tcPr>
            <w:tcW w:w="992" w:type="dxa"/>
            <w:tcBorders>
              <w:top w:val="nil"/>
              <w:left w:val="nil"/>
              <w:bottom w:val="single" w:sz="8" w:space="0" w:color="61BC4D"/>
              <w:right w:val="single" w:sz="8" w:space="0" w:color="61BC4D"/>
            </w:tcBorders>
            <w:vAlign w:val="center"/>
            <w:hideMark/>
          </w:tcPr>
          <w:p w14:paraId="6DCC856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5A25FC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w:t>
            </w:r>
          </w:p>
        </w:tc>
        <w:tc>
          <w:tcPr>
            <w:tcW w:w="1417" w:type="dxa"/>
            <w:tcBorders>
              <w:top w:val="nil"/>
              <w:left w:val="nil"/>
              <w:bottom w:val="single" w:sz="8" w:space="0" w:color="61BC4D"/>
              <w:right w:val="single" w:sz="8" w:space="0" w:color="61BC4D"/>
            </w:tcBorders>
            <w:vAlign w:val="center"/>
            <w:hideMark/>
          </w:tcPr>
          <w:p w14:paraId="7E64374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Délais internes</w:t>
            </w:r>
          </w:p>
        </w:tc>
        <w:tc>
          <w:tcPr>
            <w:tcW w:w="851" w:type="dxa"/>
            <w:tcBorders>
              <w:top w:val="nil"/>
              <w:left w:val="nil"/>
              <w:bottom w:val="single" w:sz="8" w:space="0" w:color="61BC4D"/>
              <w:right w:val="single" w:sz="8" w:space="0" w:color="61BC4D"/>
            </w:tcBorders>
            <w:vAlign w:val="center"/>
            <w:hideMark/>
          </w:tcPr>
          <w:p w14:paraId="65AAA22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2.6</w:t>
            </w:r>
          </w:p>
        </w:tc>
      </w:tr>
      <w:tr w:rsidR="00157DE1" w:rsidRPr="00CB4D41" w14:paraId="479D219B"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7F1429A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w:t>
            </w:r>
          </w:p>
        </w:tc>
        <w:tc>
          <w:tcPr>
            <w:tcW w:w="1560" w:type="dxa"/>
            <w:tcBorders>
              <w:top w:val="nil"/>
              <w:left w:val="nil"/>
              <w:bottom w:val="single" w:sz="8" w:space="0" w:color="61BC4D"/>
              <w:right w:val="single" w:sz="8" w:space="0" w:color="61BC4D"/>
            </w:tcBorders>
            <w:vAlign w:val="center"/>
            <w:hideMark/>
          </w:tcPr>
          <w:p w14:paraId="438E0FB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Cadastre pétrolier</w:t>
            </w:r>
          </w:p>
        </w:tc>
        <w:tc>
          <w:tcPr>
            <w:tcW w:w="1985" w:type="dxa"/>
            <w:tcBorders>
              <w:top w:val="nil"/>
              <w:left w:val="nil"/>
              <w:bottom w:val="single" w:sz="8" w:space="0" w:color="61BC4D"/>
              <w:right w:val="single" w:sz="8" w:space="0" w:color="61BC4D"/>
            </w:tcBorders>
            <w:vAlign w:val="center"/>
            <w:hideMark/>
          </w:tcPr>
          <w:p w14:paraId="3BFE57B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Carte statique non interactive</w:t>
            </w:r>
          </w:p>
        </w:tc>
        <w:tc>
          <w:tcPr>
            <w:tcW w:w="2268" w:type="dxa"/>
            <w:tcBorders>
              <w:top w:val="nil"/>
              <w:left w:val="nil"/>
              <w:bottom w:val="single" w:sz="8" w:space="0" w:color="61BC4D"/>
              <w:right w:val="single" w:sz="8" w:space="0" w:color="61BC4D"/>
            </w:tcBorders>
            <w:vAlign w:val="center"/>
            <w:hideMark/>
          </w:tcPr>
          <w:p w14:paraId="2777FF1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Développer une carte interactive avec données géographiques et contractuelles</w:t>
            </w:r>
          </w:p>
        </w:tc>
        <w:tc>
          <w:tcPr>
            <w:tcW w:w="1560" w:type="dxa"/>
            <w:tcBorders>
              <w:top w:val="nil"/>
              <w:left w:val="nil"/>
              <w:bottom w:val="single" w:sz="8" w:space="0" w:color="61BC4D"/>
              <w:right w:val="single" w:sz="8" w:space="0" w:color="61BC4D"/>
            </w:tcBorders>
            <w:vAlign w:val="center"/>
            <w:hideMark/>
          </w:tcPr>
          <w:p w14:paraId="4181051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 MINEE</w:t>
            </w:r>
          </w:p>
        </w:tc>
        <w:tc>
          <w:tcPr>
            <w:tcW w:w="850" w:type="dxa"/>
            <w:tcBorders>
              <w:top w:val="nil"/>
              <w:left w:val="nil"/>
              <w:bottom w:val="single" w:sz="8" w:space="0" w:color="61BC4D"/>
              <w:right w:val="single" w:sz="8" w:space="0" w:color="61BC4D"/>
            </w:tcBorders>
            <w:vAlign w:val="center"/>
            <w:hideMark/>
          </w:tcPr>
          <w:p w14:paraId="0DAE36DA"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6F7B12B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5F893E2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2F2187C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Contraintes techniques</w:t>
            </w:r>
          </w:p>
        </w:tc>
        <w:tc>
          <w:tcPr>
            <w:tcW w:w="851" w:type="dxa"/>
            <w:tcBorders>
              <w:top w:val="nil"/>
              <w:left w:val="nil"/>
              <w:bottom w:val="single" w:sz="8" w:space="0" w:color="61BC4D"/>
              <w:right w:val="single" w:sz="8" w:space="0" w:color="61BC4D"/>
            </w:tcBorders>
            <w:vAlign w:val="center"/>
            <w:hideMark/>
          </w:tcPr>
          <w:p w14:paraId="3462A69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2.3</w:t>
            </w:r>
          </w:p>
        </w:tc>
      </w:tr>
      <w:tr w:rsidR="00157DE1" w:rsidRPr="00CB4D41" w14:paraId="0763840A"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721F06B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w:t>
            </w:r>
          </w:p>
        </w:tc>
        <w:tc>
          <w:tcPr>
            <w:tcW w:w="1560" w:type="dxa"/>
            <w:tcBorders>
              <w:top w:val="nil"/>
              <w:left w:val="nil"/>
              <w:bottom w:val="single" w:sz="8" w:space="0" w:color="61BC4D"/>
              <w:right w:val="single" w:sz="8" w:space="0" w:color="61BC4D"/>
            </w:tcBorders>
            <w:vAlign w:val="center"/>
            <w:hideMark/>
          </w:tcPr>
          <w:p w14:paraId="2B52227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Contrats pétroliers</w:t>
            </w:r>
          </w:p>
        </w:tc>
        <w:tc>
          <w:tcPr>
            <w:tcW w:w="1985" w:type="dxa"/>
            <w:tcBorders>
              <w:top w:val="nil"/>
              <w:left w:val="nil"/>
              <w:bottom w:val="single" w:sz="8" w:space="0" w:color="61BC4D"/>
              <w:right w:val="single" w:sz="8" w:space="0" w:color="61BC4D"/>
            </w:tcBorders>
            <w:vAlign w:val="center"/>
            <w:hideMark/>
          </w:tcPr>
          <w:p w14:paraId="090092F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Confidentialité évoquée pour la non-publication</w:t>
            </w:r>
          </w:p>
        </w:tc>
        <w:tc>
          <w:tcPr>
            <w:tcW w:w="2268" w:type="dxa"/>
            <w:tcBorders>
              <w:top w:val="nil"/>
              <w:left w:val="nil"/>
              <w:bottom w:val="single" w:sz="8" w:space="0" w:color="61BC4D"/>
              <w:right w:val="single" w:sz="8" w:space="0" w:color="61BC4D"/>
            </w:tcBorders>
            <w:vAlign w:val="center"/>
            <w:hideMark/>
          </w:tcPr>
          <w:p w14:paraId="7613950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Publier les extraits non sensibles après analyse juridique</w:t>
            </w:r>
          </w:p>
        </w:tc>
        <w:tc>
          <w:tcPr>
            <w:tcW w:w="1560" w:type="dxa"/>
            <w:tcBorders>
              <w:top w:val="nil"/>
              <w:left w:val="nil"/>
              <w:bottom w:val="single" w:sz="8" w:space="0" w:color="61BC4D"/>
              <w:right w:val="single" w:sz="8" w:space="0" w:color="61BC4D"/>
            </w:tcBorders>
            <w:vAlign w:val="center"/>
            <w:hideMark/>
          </w:tcPr>
          <w:p w14:paraId="6849125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 MINJUSTICE</w:t>
            </w:r>
          </w:p>
        </w:tc>
        <w:tc>
          <w:tcPr>
            <w:tcW w:w="850" w:type="dxa"/>
            <w:tcBorders>
              <w:top w:val="nil"/>
              <w:left w:val="nil"/>
              <w:bottom w:val="single" w:sz="8" w:space="0" w:color="61BC4D"/>
              <w:right w:val="single" w:sz="8" w:space="0" w:color="61BC4D"/>
            </w:tcBorders>
            <w:vAlign w:val="center"/>
            <w:hideMark/>
          </w:tcPr>
          <w:p w14:paraId="5650B97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71E7F6B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AF1180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(réunions, expertise juridique) </w:t>
            </w:r>
          </w:p>
        </w:tc>
        <w:tc>
          <w:tcPr>
            <w:tcW w:w="1417" w:type="dxa"/>
            <w:tcBorders>
              <w:top w:val="nil"/>
              <w:left w:val="nil"/>
              <w:bottom w:val="single" w:sz="8" w:space="0" w:color="61BC4D"/>
              <w:right w:val="single" w:sz="8" w:space="0" w:color="61BC4D"/>
            </w:tcBorders>
            <w:vAlign w:val="center"/>
            <w:hideMark/>
          </w:tcPr>
          <w:p w14:paraId="3E32E7D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Sensibilité juridique</w:t>
            </w:r>
          </w:p>
        </w:tc>
        <w:tc>
          <w:tcPr>
            <w:tcW w:w="851" w:type="dxa"/>
            <w:tcBorders>
              <w:top w:val="nil"/>
              <w:left w:val="nil"/>
              <w:bottom w:val="single" w:sz="8" w:space="0" w:color="61BC4D"/>
              <w:right w:val="single" w:sz="8" w:space="0" w:color="61BC4D"/>
            </w:tcBorders>
            <w:vAlign w:val="center"/>
            <w:hideMark/>
          </w:tcPr>
          <w:p w14:paraId="41F5A26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2.4</w:t>
            </w:r>
          </w:p>
        </w:tc>
      </w:tr>
      <w:tr w:rsidR="00157DE1" w:rsidRPr="00CB4D41" w14:paraId="38C9F1F2"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0FCD1F7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w:t>
            </w:r>
          </w:p>
        </w:tc>
        <w:tc>
          <w:tcPr>
            <w:tcW w:w="1560" w:type="dxa"/>
            <w:tcBorders>
              <w:top w:val="nil"/>
              <w:left w:val="nil"/>
              <w:bottom w:val="single" w:sz="8" w:space="0" w:color="61BC4D"/>
              <w:right w:val="single" w:sz="8" w:space="0" w:color="61BC4D"/>
            </w:tcBorders>
            <w:vAlign w:val="center"/>
            <w:hideMark/>
          </w:tcPr>
          <w:p w14:paraId="4B3CFC0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Standardisation des données</w:t>
            </w:r>
          </w:p>
        </w:tc>
        <w:tc>
          <w:tcPr>
            <w:tcW w:w="1985" w:type="dxa"/>
            <w:tcBorders>
              <w:top w:val="nil"/>
              <w:left w:val="nil"/>
              <w:bottom w:val="single" w:sz="8" w:space="0" w:color="61BC4D"/>
              <w:right w:val="single" w:sz="8" w:space="0" w:color="61BC4D"/>
            </w:tcBorders>
            <w:vAlign w:val="center"/>
            <w:hideMark/>
          </w:tcPr>
          <w:p w14:paraId="7D9DBD0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Pas de canevas formalisé</w:t>
            </w:r>
          </w:p>
        </w:tc>
        <w:tc>
          <w:tcPr>
            <w:tcW w:w="2268" w:type="dxa"/>
            <w:tcBorders>
              <w:top w:val="nil"/>
              <w:left w:val="nil"/>
              <w:bottom w:val="single" w:sz="8" w:space="0" w:color="61BC4D"/>
              <w:right w:val="single" w:sz="8" w:space="0" w:color="61BC4D"/>
            </w:tcBorders>
            <w:vAlign w:val="center"/>
            <w:hideMark/>
          </w:tcPr>
          <w:p w14:paraId="2768EA7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Élaborer un canevas de divulgation avec formats et calendrier</w:t>
            </w:r>
          </w:p>
        </w:tc>
        <w:tc>
          <w:tcPr>
            <w:tcW w:w="1560" w:type="dxa"/>
            <w:tcBorders>
              <w:top w:val="nil"/>
              <w:left w:val="nil"/>
              <w:bottom w:val="single" w:sz="8" w:space="0" w:color="61BC4D"/>
              <w:right w:val="single" w:sz="8" w:space="0" w:color="61BC4D"/>
            </w:tcBorders>
            <w:vAlign w:val="center"/>
            <w:hideMark/>
          </w:tcPr>
          <w:p w14:paraId="7EF7B11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SNH, ITIE</w:t>
            </w:r>
          </w:p>
        </w:tc>
        <w:tc>
          <w:tcPr>
            <w:tcW w:w="850" w:type="dxa"/>
            <w:tcBorders>
              <w:top w:val="nil"/>
              <w:left w:val="nil"/>
              <w:bottom w:val="single" w:sz="8" w:space="0" w:color="61BC4D"/>
              <w:right w:val="single" w:sz="8" w:space="0" w:color="61BC4D"/>
            </w:tcBorders>
            <w:vAlign w:val="center"/>
            <w:hideMark/>
          </w:tcPr>
          <w:p w14:paraId="7F50D135"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5A76DE2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1D3580C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Consultants </w:t>
            </w:r>
          </w:p>
        </w:tc>
        <w:tc>
          <w:tcPr>
            <w:tcW w:w="1417" w:type="dxa"/>
            <w:tcBorders>
              <w:top w:val="nil"/>
              <w:left w:val="nil"/>
              <w:bottom w:val="single" w:sz="8" w:space="0" w:color="61BC4D"/>
              <w:right w:val="single" w:sz="8" w:space="0" w:color="61BC4D"/>
            </w:tcBorders>
            <w:vAlign w:val="center"/>
            <w:hideMark/>
          </w:tcPr>
          <w:p w14:paraId="2899D00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d’adoption</w:t>
            </w:r>
          </w:p>
        </w:tc>
        <w:tc>
          <w:tcPr>
            <w:tcW w:w="851" w:type="dxa"/>
            <w:tcBorders>
              <w:top w:val="nil"/>
              <w:left w:val="nil"/>
              <w:bottom w:val="single" w:sz="8" w:space="0" w:color="61BC4D"/>
              <w:right w:val="single" w:sz="8" w:space="0" w:color="61BC4D"/>
            </w:tcBorders>
            <w:vAlign w:val="center"/>
            <w:hideMark/>
          </w:tcPr>
          <w:p w14:paraId="2FCF24F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7.2</w:t>
            </w:r>
          </w:p>
        </w:tc>
      </w:tr>
      <w:tr w:rsidR="00157DE1" w:rsidRPr="00CB4D41" w14:paraId="7025CCB5" w14:textId="77777777" w:rsidTr="00610F0B">
        <w:trPr>
          <w:trHeight w:val="980"/>
        </w:trPr>
        <w:tc>
          <w:tcPr>
            <w:tcW w:w="1134" w:type="dxa"/>
            <w:tcBorders>
              <w:top w:val="nil"/>
              <w:left w:val="nil"/>
              <w:bottom w:val="single" w:sz="8" w:space="0" w:color="61BC4D"/>
              <w:right w:val="single" w:sz="8" w:space="0" w:color="61BC4D"/>
            </w:tcBorders>
            <w:vAlign w:val="center"/>
            <w:hideMark/>
          </w:tcPr>
          <w:p w14:paraId="36539F1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w:t>
            </w:r>
          </w:p>
        </w:tc>
        <w:tc>
          <w:tcPr>
            <w:tcW w:w="1560" w:type="dxa"/>
            <w:tcBorders>
              <w:top w:val="nil"/>
              <w:left w:val="nil"/>
              <w:bottom w:val="single" w:sz="8" w:space="0" w:color="61BC4D"/>
              <w:right w:val="single" w:sz="8" w:space="0" w:color="61BC4D"/>
            </w:tcBorders>
            <w:vAlign w:val="center"/>
            <w:hideMark/>
          </w:tcPr>
          <w:p w14:paraId="410A13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DSF</w:t>
            </w:r>
          </w:p>
        </w:tc>
        <w:tc>
          <w:tcPr>
            <w:tcW w:w="1985" w:type="dxa"/>
            <w:tcBorders>
              <w:top w:val="nil"/>
              <w:left w:val="nil"/>
              <w:bottom w:val="single" w:sz="8" w:space="0" w:color="61BC4D"/>
              <w:right w:val="single" w:sz="8" w:space="0" w:color="61BC4D"/>
            </w:tcBorders>
            <w:vAlign w:val="center"/>
            <w:hideMark/>
          </w:tcPr>
          <w:p w14:paraId="3AAC947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Fiabilité variable (emploi, investissements)</w:t>
            </w:r>
          </w:p>
        </w:tc>
        <w:tc>
          <w:tcPr>
            <w:tcW w:w="2268" w:type="dxa"/>
            <w:tcBorders>
              <w:top w:val="nil"/>
              <w:left w:val="nil"/>
              <w:bottom w:val="single" w:sz="8" w:space="0" w:color="61BC4D"/>
              <w:right w:val="single" w:sz="8" w:space="0" w:color="61BC4D"/>
            </w:tcBorders>
            <w:vAlign w:val="center"/>
            <w:hideMark/>
          </w:tcPr>
          <w:p w14:paraId="09C879B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Renforcer la collaboration INS–DGI–CNPS pour fiabiliser les données</w:t>
            </w:r>
          </w:p>
        </w:tc>
        <w:tc>
          <w:tcPr>
            <w:tcW w:w="1560" w:type="dxa"/>
            <w:tcBorders>
              <w:top w:val="nil"/>
              <w:left w:val="nil"/>
              <w:bottom w:val="single" w:sz="8" w:space="0" w:color="61BC4D"/>
              <w:right w:val="single" w:sz="8" w:space="0" w:color="61BC4D"/>
            </w:tcBorders>
            <w:vAlign w:val="center"/>
            <w:hideMark/>
          </w:tcPr>
          <w:p w14:paraId="6AF31FB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 DGI, CNPS</w:t>
            </w:r>
          </w:p>
        </w:tc>
        <w:tc>
          <w:tcPr>
            <w:tcW w:w="850" w:type="dxa"/>
            <w:tcBorders>
              <w:top w:val="nil"/>
              <w:left w:val="nil"/>
              <w:bottom w:val="single" w:sz="8" w:space="0" w:color="61BC4D"/>
              <w:right w:val="single" w:sz="8" w:space="0" w:color="61BC4D"/>
            </w:tcBorders>
            <w:vAlign w:val="center"/>
            <w:hideMark/>
          </w:tcPr>
          <w:p w14:paraId="0C14004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765B6D2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2C771DF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Ressources internes, coordination interagences</w:t>
            </w:r>
          </w:p>
        </w:tc>
        <w:tc>
          <w:tcPr>
            <w:tcW w:w="1417" w:type="dxa"/>
            <w:tcBorders>
              <w:top w:val="nil"/>
              <w:left w:val="nil"/>
              <w:bottom w:val="single" w:sz="8" w:space="0" w:color="61BC4D"/>
              <w:right w:val="single" w:sz="8" w:space="0" w:color="61BC4D"/>
            </w:tcBorders>
            <w:vAlign w:val="center"/>
            <w:hideMark/>
          </w:tcPr>
          <w:p w14:paraId="70C5CB4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non harmonisées</w:t>
            </w:r>
          </w:p>
        </w:tc>
        <w:tc>
          <w:tcPr>
            <w:tcW w:w="851" w:type="dxa"/>
            <w:tcBorders>
              <w:top w:val="nil"/>
              <w:left w:val="nil"/>
              <w:bottom w:val="single" w:sz="8" w:space="0" w:color="61BC4D"/>
              <w:right w:val="single" w:sz="8" w:space="0" w:color="61BC4D"/>
            </w:tcBorders>
            <w:vAlign w:val="center"/>
            <w:hideMark/>
          </w:tcPr>
          <w:p w14:paraId="6F1412E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6.3</w:t>
            </w:r>
          </w:p>
        </w:tc>
      </w:tr>
      <w:tr w:rsidR="00157DE1" w:rsidRPr="00CB4D41" w14:paraId="2C1B3B23" w14:textId="77777777" w:rsidTr="00610F0B">
        <w:trPr>
          <w:trHeight w:val="980"/>
        </w:trPr>
        <w:tc>
          <w:tcPr>
            <w:tcW w:w="1134" w:type="dxa"/>
            <w:tcBorders>
              <w:top w:val="nil"/>
              <w:left w:val="nil"/>
              <w:bottom w:val="single" w:sz="8" w:space="0" w:color="61BC4D"/>
              <w:right w:val="single" w:sz="8" w:space="0" w:color="61BC4D"/>
            </w:tcBorders>
            <w:vAlign w:val="center"/>
            <w:hideMark/>
          </w:tcPr>
          <w:p w14:paraId="752B1CC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RCCM </w:t>
            </w:r>
          </w:p>
        </w:tc>
        <w:tc>
          <w:tcPr>
            <w:tcW w:w="1560" w:type="dxa"/>
            <w:tcBorders>
              <w:top w:val="nil"/>
              <w:left w:val="nil"/>
              <w:bottom w:val="single" w:sz="8" w:space="0" w:color="61BC4D"/>
              <w:right w:val="single" w:sz="8" w:space="0" w:color="61BC4D"/>
            </w:tcBorders>
            <w:vAlign w:val="center"/>
            <w:hideMark/>
          </w:tcPr>
          <w:p w14:paraId="11FC2D8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 Accès limité aux données juridiques</w:t>
            </w:r>
          </w:p>
        </w:tc>
        <w:tc>
          <w:tcPr>
            <w:tcW w:w="1985" w:type="dxa"/>
            <w:tcBorders>
              <w:top w:val="nil"/>
              <w:left w:val="nil"/>
              <w:bottom w:val="single" w:sz="8" w:space="0" w:color="61BC4D"/>
              <w:right w:val="single" w:sz="8" w:space="0" w:color="61BC4D"/>
            </w:tcBorders>
            <w:vAlign w:val="center"/>
            <w:hideMark/>
          </w:tcPr>
          <w:p w14:paraId="126C4EA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Registre public non accessible en ligne ; absence de dépôt systématique des états financiers.</w:t>
            </w:r>
          </w:p>
        </w:tc>
        <w:tc>
          <w:tcPr>
            <w:tcW w:w="2268" w:type="dxa"/>
            <w:tcBorders>
              <w:top w:val="nil"/>
              <w:left w:val="nil"/>
              <w:bottom w:val="single" w:sz="8" w:space="0" w:color="61BC4D"/>
              <w:right w:val="single" w:sz="8" w:space="0" w:color="61BC4D"/>
            </w:tcBorders>
            <w:vAlign w:val="center"/>
            <w:hideMark/>
          </w:tcPr>
          <w:p w14:paraId="6012C4C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Créer un portail numérique public ; imposer le dépôt effectif des états financiers avec sanctions.</w:t>
            </w:r>
          </w:p>
        </w:tc>
        <w:tc>
          <w:tcPr>
            <w:tcW w:w="1560" w:type="dxa"/>
            <w:tcBorders>
              <w:top w:val="nil"/>
              <w:left w:val="nil"/>
              <w:bottom w:val="single" w:sz="8" w:space="0" w:color="61BC4D"/>
              <w:right w:val="single" w:sz="8" w:space="0" w:color="61BC4D"/>
            </w:tcBorders>
            <w:vAlign w:val="center"/>
            <w:hideMark/>
          </w:tcPr>
          <w:p w14:paraId="4B14954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RCCM</w:t>
            </w:r>
          </w:p>
        </w:tc>
        <w:tc>
          <w:tcPr>
            <w:tcW w:w="850" w:type="dxa"/>
            <w:tcBorders>
              <w:top w:val="nil"/>
              <w:left w:val="nil"/>
              <w:bottom w:val="single" w:sz="8" w:space="0" w:color="61BC4D"/>
              <w:right w:val="single" w:sz="8" w:space="0" w:color="61BC4D"/>
            </w:tcBorders>
            <w:vAlign w:val="center"/>
            <w:hideMark/>
          </w:tcPr>
          <w:p w14:paraId="6FB0D150"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6D5ACD3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4F7EB6A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coordination interagences, </w:t>
            </w:r>
            <w:proofErr w:type="spellStart"/>
            <w:r w:rsidRPr="00B74738">
              <w:rPr>
                <w:rFonts w:ascii="Kohinoor Devanagari" w:eastAsia="Times New Roman" w:hAnsi="Kohinoor Devanagari" w:cs="Kohinoor Devanagari"/>
                <w:color w:val="0D0D0D"/>
                <w:kern w:val="0"/>
                <w:sz w:val="19"/>
                <w:szCs w:val="19"/>
                <w:lang w:eastAsia="fr-FR"/>
                <w14:ligatures w14:val="none"/>
              </w:rPr>
              <w:t>xpertise</w:t>
            </w:r>
            <w:proofErr w:type="spellEnd"/>
            <w:r w:rsidRPr="00B74738">
              <w:rPr>
                <w:rFonts w:ascii="Kohinoor Devanagari" w:eastAsia="Times New Roman" w:hAnsi="Kohinoor Devanagari" w:cs="Kohinoor Devanagari"/>
                <w:color w:val="0D0D0D"/>
                <w:kern w:val="0"/>
                <w:sz w:val="19"/>
                <w:szCs w:val="19"/>
                <w:lang w:eastAsia="fr-FR"/>
                <w14:ligatures w14:val="none"/>
              </w:rPr>
              <w:t xml:space="preserve"> juridique</w:t>
            </w:r>
          </w:p>
        </w:tc>
        <w:tc>
          <w:tcPr>
            <w:tcW w:w="1417" w:type="dxa"/>
            <w:tcBorders>
              <w:top w:val="nil"/>
              <w:left w:val="nil"/>
              <w:bottom w:val="single" w:sz="8" w:space="0" w:color="61BC4D"/>
              <w:right w:val="single" w:sz="8" w:space="0" w:color="61BC4D"/>
            </w:tcBorders>
            <w:vAlign w:val="center"/>
            <w:hideMark/>
          </w:tcPr>
          <w:p w14:paraId="4B3112A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d’adoption</w:t>
            </w:r>
          </w:p>
        </w:tc>
        <w:tc>
          <w:tcPr>
            <w:tcW w:w="851" w:type="dxa"/>
            <w:tcBorders>
              <w:top w:val="nil"/>
              <w:left w:val="nil"/>
              <w:bottom w:val="single" w:sz="8" w:space="0" w:color="61BC4D"/>
              <w:right w:val="single" w:sz="8" w:space="0" w:color="61BC4D"/>
            </w:tcBorders>
            <w:vAlign w:val="center"/>
            <w:hideMark/>
          </w:tcPr>
          <w:p w14:paraId="34A4AA0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2.6</w:t>
            </w:r>
          </w:p>
        </w:tc>
      </w:tr>
      <w:tr w:rsidR="00157DE1" w:rsidRPr="00CB4D41" w14:paraId="5E16FB02" w14:textId="77777777" w:rsidTr="00610F0B">
        <w:trPr>
          <w:trHeight w:val="980"/>
        </w:trPr>
        <w:tc>
          <w:tcPr>
            <w:tcW w:w="1134" w:type="dxa"/>
            <w:tcBorders>
              <w:top w:val="nil"/>
              <w:left w:val="nil"/>
              <w:bottom w:val="single" w:sz="8" w:space="0" w:color="61BC4D"/>
              <w:right w:val="single" w:sz="8" w:space="0" w:color="61BC4D"/>
            </w:tcBorders>
            <w:vAlign w:val="center"/>
            <w:hideMark/>
          </w:tcPr>
          <w:p w14:paraId="2BB885D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 xml:space="preserve">RCCM </w:t>
            </w:r>
          </w:p>
        </w:tc>
        <w:tc>
          <w:tcPr>
            <w:tcW w:w="1560" w:type="dxa"/>
            <w:tcBorders>
              <w:top w:val="nil"/>
              <w:left w:val="nil"/>
              <w:bottom w:val="single" w:sz="8" w:space="0" w:color="61BC4D"/>
              <w:right w:val="single" w:sz="8" w:space="0" w:color="61BC4D"/>
            </w:tcBorders>
            <w:vAlign w:val="center"/>
            <w:hideMark/>
          </w:tcPr>
          <w:p w14:paraId="60F3073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 Données BE non collectées</w:t>
            </w:r>
          </w:p>
        </w:tc>
        <w:tc>
          <w:tcPr>
            <w:tcW w:w="1985" w:type="dxa"/>
            <w:tcBorders>
              <w:top w:val="nil"/>
              <w:left w:val="nil"/>
              <w:bottom w:val="single" w:sz="8" w:space="0" w:color="61BC4D"/>
              <w:right w:val="single" w:sz="8" w:space="0" w:color="61BC4D"/>
            </w:tcBorders>
            <w:vAlign w:val="center"/>
            <w:hideMark/>
          </w:tcPr>
          <w:p w14:paraId="66694DE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Pas de collecte ou publication de bénéficiaires effectifs.</w:t>
            </w:r>
          </w:p>
        </w:tc>
        <w:tc>
          <w:tcPr>
            <w:tcW w:w="2268" w:type="dxa"/>
            <w:tcBorders>
              <w:top w:val="nil"/>
              <w:left w:val="nil"/>
              <w:bottom w:val="single" w:sz="8" w:space="0" w:color="61BC4D"/>
              <w:right w:val="single" w:sz="8" w:space="0" w:color="61BC4D"/>
            </w:tcBorders>
            <w:vAlign w:val="center"/>
            <w:hideMark/>
          </w:tcPr>
          <w:p w14:paraId="70DD9CB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Élaborer un cadre d’échange entre MINFI, RCCM et ITIE ; créer un registre public des BE avec fonction de recherche.</w:t>
            </w:r>
          </w:p>
        </w:tc>
        <w:tc>
          <w:tcPr>
            <w:tcW w:w="1560" w:type="dxa"/>
            <w:tcBorders>
              <w:top w:val="nil"/>
              <w:left w:val="nil"/>
              <w:bottom w:val="single" w:sz="8" w:space="0" w:color="61BC4D"/>
              <w:right w:val="single" w:sz="8" w:space="0" w:color="61BC4D"/>
            </w:tcBorders>
            <w:vAlign w:val="center"/>
            <w:hideMark/>
          </w:tcPr>
          <w:p w14:paraId="00D1C22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RCCM</w:t>
            </w:r>
          </w:p>
        </w:tc>
        <w:tc>
          <w:tcPr>
            <w:tcW w:w="850" w:type="dxa"/>
            <w:tcBorders>
              <w:top w:val="nil"/>
              <w:left w:val="nil"/>
              <w:bottom w:val="single" w:sz="8" w:space="0" w:color="61BC4D"/>
              <w:right w:val="single" w:sz="8" w:space="0" w:color="61BC4D"/>
            </w:tcBorders>
            <w:vAlign w:val="center"/>
            <w:hideMark/>
          </w:tcPr>
          <w:p w14:paraId="0A11B89F"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64E4618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w:t>
            </w:r>
          </w:p>
        </w:tc>
        <w:tc>
          <w:tcPr>
            <w:tcW w:w="1559" w:type="dxa"/>
            <w:tcBorders>
              <w:top w:val="nil"/>
              <w:left w:val="nil"/>
              <w:bottom w:val="single" w:sz="8" w:space="0" w:color="61BC4D"/>
              <w:right w:val="single" w:sz="8" w:space="0" w:color="61BC4D"/>
            </w:tcBorders>
            <w:vAlign w:val="center"/>
            <w:hideMark/>
          </w:tcPr>
          <w:p w14:paraId="287FA05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coordination interagences, réunions), </w:t>
            </w:r>
          </w:p>
        </w:tc>
        <w:tc>
          <w:tcPr>
            <w:tcW w:w="1417" w:type="dxa"/>
            <w:tcBorders>
              <w:top w:val="nil"/>
              <w:left w:val="nil"/>
              <w:bottom w:val="single" w:sz="8" w:space="0" w:color="61BC4D"/>
              <w:right w:val="single" w:sz="8" w:space="0" w:color="61BC4D"/>
            </w:tcBorders>
            <w:vAlign w:val="center"/>
            <w:hideMark/>
          </w:tcPr>
          <w:p w14:paraId="43366B9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d’adoption</w:t>
            </w:r>
          </w:p>
        </w:tc>
        <w:tc>
          <w:tcPr>
            <w:tcW w:w="851" w:type="dxa"/>
            <w:tcBorders>
              <w:top w:val="nil"/>
              <w:left w:val="nil"/>
              <w:bottom w:val="single" w:sz="8" w:space="0" w:color="61BC4D"/>
              <w:right w:val="single" w:sz="8" w:space="0" w:color="61BC4D"/>
            </w:tcBorders>
            <w:vAlign w:val="center"/>
            <w:hideMark/>
          </w:tcPr>
          <w:p w14:paraId="19C9643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2.5</w:t>
            </w:r>
          </w:p>
        </w:tc>
      </w:tr>
      <w:tr w:rsidR="00157DE1" w:rsidRPr="00CB4D41" w14:paraId="0BA8284C"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32A851D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w:t>
            </w:r>
          </w:p>
        </w:tc>
        <w:tc>
          <w:tcPr>
            <w:tcW w:w="1560" w:type="dxa"/>
            <w:tcBorders>
              <w:top w:val="nil"/>
              <w:left w:val="nil"/>
              <w:bottom w:val="single" w:sz="8" w:space="0" w:color="61BC4D"/>
              <w:right w:val="single" w:sz="8" w:space="0" w:color="61BC4D"/>
            </w:tcBorders>
            <w:vAlign w:val="center"/>
            <w:hideMark/>
          </w:tcPr>
          <w:p w14:paraId="7E57B3C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val="en-US" w:eastAsia="fr-FR"/>
                <w14:ligatures w14:val="none"/>
              </w:rPr>
            </w:pPr>
            <w:r w:rsidRPr="00B74738">
              <w:rPr>
                <w:rFonts w:ascii="Kohinoor Devanagari" w:eastAsia="Times New Roman" w:hAnsi="Kohinoor Devanagari" w:cs="Kohinoor Devanagari"/>
                <w:color w:val="0D0D0D"/>
                <w:kern w:val="0"/>
                <w:sz w:val="19"/>
                <w:szCs w:val="19"/>
                <w:lang w:val="en-US" w:eastAsia="fr-FR"/>
                <w14:ligatures w14:val="none"/>
              </w:rPr>
              <w:t>Onglet ITIE sur Open Data</w:t>
            </w:r>
          </w:p>
        </w:tc>
        <w:tc>
          <w:tcPr>
            <w:tcW w:w="1985" w:type="dxa"/>
            <w:tcBorders>
              <w:top w:val="nil"/>
              <w:left w:val="nil"/>
              <w:bottom w:val="single" w:sz="8" w:space="0" w:color="61BC4D"/>
              <w:right w:val="single" w:sz="8" w:space="0" w:color="61BC4D"/>
            </w:tcBorders>
            <w:vAlign w:val="center"/>
            <w:hideMark/>
          </w:tcPr>
          <w:p w14:paraId="059A1A3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Jeux de données non standardisés ou incomplets</w:t>
            </w:r>
          </w:p>
        </w:tc>
        <w:tc>
          <w:tcPr>
            <w:tcW w:w="2268" w:type="dxa"/>
            <w:tcBorders>
              <w:top w:val="nil"/>
              <w:left w:val="nil"/>
              <w:bottom w:val="single" w:sz="8" w:space="0" w:color="61BC4D"/>
              <w:right w:val="single" w:sz="8" w:space="0" w:color="61BC4D"/>
            </w:tcBorders>
            <w:vAlign w:val="center"/>
            <w:hideMark/>
          </w:tcPr>
          <w:p w14:paraId="03EB855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Élargir et structurer les données ITIE disponibles</w:t>
            </w:r>
          </w:p>
        </w:tc>
        <w:tc>
          <w:tcPr>
            <w:tcW w:w="1560" w:type="dxa"/>
            <w:tcBorders>
              <w:top w:val="nil"/>
              <w:left w:val="nil"/>
              <w:bottom w:val="single" w:sz="8" w:space="0" w:color="61BC4D"/>
              <w:right w:val="single" w:sz="8" w:space="0" w:color="61BC4D"/>
            </w:tcBorders>
            <w:vAlign w:val="center"/>
            <w:hideMark/>
          </w:tcPr>
          <w:p w14:paraId="7D68507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w:t>
            </w:r>
          </w:p>
        </w:tc>
        <w:tc>
          <w:tcPr>
            <w:tcW w:w="850" w:type="dxa"/>
            <w:tcBorders>
              <w:top w:val="nil"/>
              <w:left w:val="nil"/>
              <w:bottom w:val="single" w:sz="8" w:space="0" w:color="61BC4D"/>
              <w:right w:val="single" w:sz="8" w:space="0" w:color="61BC4D"/>
            </w:tcBorders>
            <w:vAlign w:val="center"/>
            <w:hideMark/>
          </w:tcPr>
          <w:p w14:paraId="25E500D0"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5D5CFB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533AE26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w:t>
            </w:r>
          </w:p>
        </w:tc>
        <w:tc>
          <w:tcPr>
            <w:tcW w:w="1417" w:type="dxa"/>
            <w:tcBorders>
              <w:top w:val="nil"/>
              <w:left w:val="nil"/>
              <w:bottom w:val="single" w:sz="8" w:space="0" w:color="61BC4D"/>
              <w:right w:val="single" w:sz="8" w:space="0" w:color="61BC4D"/>
            </w:tcBorders>
            <w:vAlign w:val="center"/>
            <w:hideMark/>
          </w:tcPr>
          <w:p w14:paraId="150BB78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Capacités techniques limitées</w:t>
            </w:r>
          </w:p>
        </w:tc>
        <w:tc>
          <w:tcPr>
            <w:tcW w:w="851" w:type="dxa"/>
            <w:tcBorders>
              <w:top w:val="nil"/>
              <w:left w:val="nil"/>
              <w:bottom w:val="single" w:sz="8" w:space="0" w:color="61BC4D"/>
              <w:right w:val="single" w:sz="8" w:space="0" w:color="61BC4D"/>
            </w:tcBorders>
            <w:vAlign w:val="center"/>
            <w:hideMark/>
          </w:tcPr>
          <w:p w14:paraId="7D8C550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7.2</w:t>
            </w:r>
          </w:p>
        </w:tc>
      </w:tr>
      <w:tr w:rsidR="00157DE1" w:rsidRPr="00CB4D41" w14:paraId="47DA0B19"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4D1EAB3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w:t>
            </w:r>
          </w:p>
        </w:tc>
        <w:tc>
          <w:tcPr>
            <w:tcW w:w="1560" w:type="dxa"/>
            <w:tcBorders>
              <w:top w:val="nil"/>
              <w:left w:val="nil"/>
              <w:bottom w:val="single" w:sz="8" w:space="0" w:color="61BC4D"/>
              <w:right w:val="single" w:sz="8" w:space="0" w:color="61BC4D"/>
            </w:tcBorders>
            <w:vAlign w:val="center"/>
            <w:hideMark/>
          </w:tcPr>
          <w:p w14:paraId="2C9B8BB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Contraintes juridiques</w:t>
            </w:r>
          </w:p>
        </w:tc>
        <w:tc>
          <w:tcPr>
            <w:tcW w:w="1985" w:type="dxa"/>
            <w:tcBorders>
              <w:top w:val="nil"/>
              <w:left w:val="nil"/>
              <w:bottom w:val="single" w:sz="8" w:space="0" w:color="61BC4D"/>
              <w:right w:val="single" w:sz="8" w:space="0" w:color="61BC4D"/>
            </w:tcBorders>
            <w:vAlign w:val="center"/>
            <w:hideMark/>
          </w:tcPr>
          <w:p w14:paraId="664BB56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Loi interdit la divulgation par entreprise ou projet</w:t>
            </w:r>
          </w:p>
        </w:tc>
        <w:tc>
          <w:tcPr>
            <w:tcW w:w="2268" w:type="dxa"/>
            <w:tcBorders>
              <w:top w:val="nil"/>
              <w:left w:val="nil"/>
              <w:bottom w:val="single" w:sz="8" w:space="0" w:color="61BC4D"/>
              <w:right w:val="single" w:sz="8" w:space="0" w:color="61BC4D"/>
            </w:tcBorders>
            <w:vAlign w:val="center"/>
            <w:hideMark/>
          </w:tcPr>
          <w:p w14:paraId="017C47E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Initier un dialogue pour encadrer légalement la divulgation graduée</w:t>
            </w:r>
          </w:p>
        </w:tc>
        <w:tc>
          <w:tcPr>
            <w:tcW w:w="1560" w:type="dxa"/>
            <w:tcBorders>
              <w:top w:val="nil"/>
              <w:left w:val="nil"/>
              <w:bottom w:val="single" w:sz="8" w:space="0" w:color="61BC4D"/>
              <w:right w:val="single" w:sz="8" w:space="0" w:color="61BC4D"/>
            </w:tcBorders>
            <w:vAlign w:val="center"/>
            <w:hideMark/>
          </w:tcPr>
          <w:p w14:paraId="17DE537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 MINJUSTICE, MINFI</w:t>
            </w:r>
          </w:p>
        </w:tc>
        <w:tc>
          <w:tcPr>
            <w:tcW w:w="850" w:type="dxa"/>
            <w:tcBorders>
              <w:top w:val="nil"/>
              <w:left w:val="nil"/>
              <w:bottom w:val="single" w:sz="8" w:space="0" w:color="61BC4D"/>
              <w:right w:val="single" w:sz="8" w:space="0" w:color="61BC4D"/>
            </w:tcBorders>
            <w:vAlign w:val="center"/>
            <w:hideMark/>
          </w:tcPr>
          <w:p w14:paraId="4733BB3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26A215E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332FADF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Ressources internes (réunions, expertise juridique) </w:t>
            </w:r>
          </w:p>
        </w:tc>
        <w:tc>
          <w:tcPr>
            <w:tcW w:w="1417" w:type="dxa"/>
            <w:tcBorders>
              <w:top w:val="nil"/>
              <w:left w:val="nil"/>
              <w:bottom w:val="single" w:sz="8" w:space="0" w:color="61BC4D"/>
              <w:right w:val="single" w:sz="8" w:space="0" w:color="61BC4D"/>
            </w:tcBorders>
            <w:vAlign w:val="center"/>
            <w:hideMark/>
          </w:tcPr>
          <w:p w14:paraId="4730BAA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Blocage juridique</w:t>
            </w:r>
          </w:p>
        </w:tc>
        <w:tc>
          <w:tcPr>
            <w:tcW w:w="851" w:type="dxa"/>
            <w:tcBorders>
              <w:top w:val="nil"/>
              <w:left w:val="nil"/>
              <w:bottom w:val="single" w:sz="8" w:space="0" w:color="61BC4D"/>
              <w:right w:val="single" w:sz="8" w:space="0" w:color="61BC4D"/>
            </w:tcBorders>
            <w:vAlign w:val="center"/>
            <w:hideMark/>
          </w:tcPr>
          <w:p w14:paraId="3375C38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2.1, 4.1</w:t>
            </w:r>
          </w:p>
        </w:tc>
      </w:tr>
      <w:tr w:rsidR="00157DE1" w:rsidRPr="00CB4D41" w14:paraId="44287894" w14:textId="77777777" w:rsidTr="00610F0B">
        <w:trPr>
          <w:trHeight w:val="530"/>
        </w:trPr>
        <w:tc>
          <w:tcPr>
            <w:tcW w:w="1134" w:type="dxa"/>
            <w:tcBorders>
              <w:top w:val="nil"/>
              <w:left w:val="nil"/>
              <w:bottom w:val="single" w:sz="8" w:space="0" w:color="61BC4D"/>
              <w:right w:val="single" w:sz="8" w:space="0" w:color="61BC4D"/>
            </w:tcBorders>
            <w:vAlign w:val="center"/>
            <w:hideMark/>
          </w:tcPr>
          <w:p w14:paraId="12E892C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w:t>
            </w:r>
          </w:p>
        </w:tc>
        <w:tc>
          <w:tcPr>
            <w:tcW w:w="1560" w:type="dxa"/>
            <w:tcBorders>
              <w:top w:val="nil"/>
              <w:left w:val="nil"/>
              <w:bottom w:val="single" w:sz="8" w:space="0" w:color="61BC4D"/>
              <w:right w:val="single" w:sz="8" w:space="0" w:color="61BC4D"/>
            </w:tcBorders>
            <w:vAlign w:val="center"/>
            <w:hideMark/>
          </w:tcPr>
          <w:p w14:paraId="7F52B35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environnementales</w:t>
            </w:r>
          </w:p>
        </w:tc>
        <w:tc>
          <w:tcPr>
            <w:tcW w:w="1985" w:type="dxa"/>
            <w:tcBorders>
              <w:top w:val="nil"/>
              <w:left w:val="nil"/>
              <w:bottom w:val="single" w:sz="8" w:space="0" w:color="61BC4D"/>
              <w:right w:val="single" w:sz="8" w:space="0" w:color="61BC4D"/>
            </w:tcBorders>
            <w:vAlign w:val="center"/>
            <w:hideMark/>
          </w:tcPr>
          <w:p w14:paraId="22B686B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Capacités limitées, base prévue pour 2028–2029</w:t>
            </w:r>
          </w:p>
        </w:tc>
        <w:tc>
          <w:tcPr>
            <w:tcW w:w="2268" w:type="dxa"/>
            <w:tcBorders>
              <w:top w:val="nil"/>
              <w:left w:val="nil"/>
              <w:bottom w:val="single" w:sz="8" w:space="0" w:color="61BC4D"/>
              <w:right w:val="single" w:sz="8" w:space="0" w:color="61BC4D"/>
            </w:tcBorders>
            <w:vAlign w:val="center"/>
            <w:hideMark/>
          </w:tcPr>
          <w:p w14:paraId="4F5AF53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Former les agents et intégrer un module environnemental dans la plateforme ITIE</w:t>
            </w:r>
          </w:p>
        </w:tc>
        <w:tc>
          <w:tcPr>
            <w:tcW w:w="1560" w:type="dxa"/>
            <w:tcBorders>
              <w:top w:val="nil"/>
              <w:left w:val="nil"/>
              <w:bottom w:val="single" w:sz="8" w:space="0" w:color="61BC4D"/>
              <w:right w:val="single" w:sz="8" w:space="0" w:color="61BC4D"/>
            </w:tcBorders>
            <w:vAlign w:val="center"/>
            <w:hideMark/>
          </w:tcPr>
          <w:p w14:paraId="6F7E3DE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INS, MINEPDEP</w:t>
            </w:r>
          </w:p>
        </w:tc>
        <w:tc>
          <w:tcPr>
            <w:tcW w:w="850" w:type="dxa"/>
            <w:tcBorders>
              <w:top w:val="nil"/>
              <w:left w:val="nil"/>
              <w:bottom w:val="single" w:sz="8" w:space="0" w:color="61BC4D"/>
              <w:right w:val="single" w:sz="8" w:space="0" w:color="61BC4D"/>
            </w:tcBorders>
            <w:vAlign w:val="center"/>
            <w:hideMark/>
          </w:tcPr>
          <w:p w14:paraId="5919E1F2"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24</w:t>
            </w:r>
          </w:p>
        </w:tc>
        <w:tc>
          <w:tcPr>
            <w:tcW w:w="992" w:type="dxa"/>
            <w:tcBorders>
              <w:top w:val="nil"/>
              <w:left w:val="nil"/>
              <w:bottom w:val="single" w:sz="8" w:space="0" w:color="61BC4D"/>
              <w:right w:val="single" w:sz="8" w:space="0" w:color="61BC4D"/>
            </w:tcBorders>
            <w:vAlign w:val="center"/>
            <w:hideMark/>
          </w:tcPr>
          <w:p w14:paraId="50FDD3B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34AFBBF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Ateliers, consultants, matériel pédagogique</w:t>
            </w:r>
          </w:p>
        </w:tc>
        <w:tc>
          <w:tcPr>
            <w:tcW w:w="1417" w:type="dxa"/>
            <w:tcBorders>
              <w:top w:val="nil"/>
              <w:left w:val="nil"/>
              <w:bottom w:val="single" w:sz="8" w:space="0" w:color="61BC4D"/>
              <w:right w:val="single" w:sz="8" w:space="0" w:color="61BC4D"/>
            </w:tcBorders>
            <w:vAlign w:val="center"/>
            <w:hideMark/>
          </w:tcPr>
          <w:p w14:paraId="54C9E9B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techniques</w:t>
            </w:r>
          </w:p>
        </w:tc>
        <w:tc>
          <w:tcPr>
            <w:tcW w:w="851" w:type="dxa"/>
            <w:tcBorders>
              <w:top w:val="nil"/>
              <w:left w:val="nil"/>
              <w:bottom w:val="single" w:sz="8" w:space="0" w:color="61BC4D"/>
              <w:right w:val="single" w:sz="8" w:space="0" w:color="61BC4D"/>
            </w:tcBorders>
            <w:vAlign w:val="center"/>
            <w:hideMark/>
          </w:tcPr>
          <w:p w14:paraId="6116D64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6.4</w:t>
            </w:r>
          </w:p>
        </w:tc>
      </w:tr>
      <w:tr w:rsidR="00157DE1" w:rsidRPr="00CB4D41" w14:paraId="5FCB0450"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5FA6A47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1560" w:type="dxa"/>
            <w:tcBorders>
              <w:top w:val="nil"/>
              <w:left w:val="nil"/>
              <w:bottom w:val="single" w:sz="8" w:space="0" w:color="61BC4D"/>
              <w:right w:val="single" w:sz="8" w:space="0" w:color="61BC4D"/>
            </w:tcBorders>
            <w:vAlign w:val="center"/>
            <w:hideMark/>
          </w:tcPr>
          <w:p w14:paraId="1700A69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Études d’impact (EIES)</w:t>
            </w:r>
          </w:p>
        </w:tc>
        <w:tc>
          <w:tcPr>
            <w:tcW w:w="1985" w:type="dxa"/>
            <w:tcBorders>
              <w:top w:val="nil"/>
              <w:left w:val="nil"/>
              <w:bottom w:val="single" w:sz="8" w:space="0" w:color="61BC4D"/>
              <w:right w:val="single" w:sz="8" w:space="0" w:color="61BC4D"/>
            </w:tcBorders>
            <w:vAlign w:val="center"/>
            <w:hideMark/>
          </w:tcPr>
          <w:p w14:paraId="0F032F7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EIES archivées physiquement, non numérisées</w:t>
            </w:r>
          </w:p>
        </w:tc>
        <w:tc>
          <w:tcPr>
            <w:tcW w:w="2268" w:type="dxa"/>
            <w:tcBorders>
              <w:top w:val="nil"/>
              <w:left w:val="nil"/>
              <w:bottom w:val="single" w:sz="8" w:space="0" w:color="61BC4D"/>
              <w:right w:val="single" w:sz="8" w:space="0" w:color="61BC4D"/>
            </w:tcBorders>
            <w:vAlign w:val="center"/>
            <w:hideMark/>
          </w:tcPr>
          <w:p w14:paraId="0840CED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Numériser les EIES ; créer une base de données publique</w:t>
            </w:r>
          </w:p>
        </w:tc>
        <w:tc>
          <w:tcPr>
            <w:tcW w:w="1560" w:type="dxa"/>
            <w:tcBorders>
              <w:top w:val="nil"/>
              <w:left w:val="nil"/>
              <w:bottom w:val="single" w:sz="8" w:space="0" w:color="61BC4D"/>
              <w:right w:val="single" w:sz="8" w:space="0" w:color="61BC4D"/>
            </w:tcBorders>
            <w:vAlign w:val="center"/>
            <w:hideMark/>
          </w:tcPr>
          <w:p w14:paraId="394AA83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850" w:type="dxa"/>
            <w:tcBorders>
              <w:top w:val="nil"/>
              <w:left w:val="nil"/>
              <w:bottom w:val="single" w:sz="8" w:space="0" w:color="61BC4D"/>
              <w:right w:val="single" w:sz="8" w:space="0" w:color="61BC4D"/>
            </w:tcBorders>
            <w:vAlign w:val="center"/>
            <w:hideMark/>
          </w:tcPr>
          <w:p w14:paraId="0024886C"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1492586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4D57022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1DF9542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Capacité de numérisation faible</w:t>
            </w:r>
          </w:p>
        </w:tc>
        <w:tc>
          <w:tcPr>
            <w:tcW w:w="851" w:type="dxa"/>
            <w:tcBorders>
              <w:top w:val="nil"/>
              <w:left w:val="nil"/>
              <w:bottom w:val="single" w:sz="8" w:space="0" w:color="61BC4D"/>
              <w:right w:val="single" w:sz="8" w:space="0" w:color="61BC4D"/>
            </w:tcBorders>
            <w:vAlign w:val="center"/>
            <w:hideMark/>
          </w:tcPr>
          <w:p w14:paraId="011D657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6.1</w:t>
            </w:r>
          </w:p>
        </w:tc>
      </w:tr>
      <w:tr w:rsidR="00157DE1" w:rsidRPr="00CB4D41" w14:paraId="542A16E1"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0A7148B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MINEPDEP</w:t>
            </w:r>
          </w:p>
        </w:tc>
        <w:tc>
          <w:tcPr>
            <w:tcW w:w="1560" w:type="dxa"/>
            <w:tcBorders>
              <w:top w:val="nil"/>
              <w:left w:val="nil"/>
              <w:bottom w:val="single" w:sz="8" w:space="0" w:color="61BC4D"/>
              <w:right w:val="single" w:sz="8" w:space="0" w:color="61BC4D"/>
            </w:tcBorders>
            <w:vAlign w:val="center"/>
            <w:hideMark/>
          </w:tcPr>
          <w:p w14:paraId="370000C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Consultations communautaires</w:t>
            </w:r>
          </w:p>
        </w:tc>
        <w:tc>
          <w:tcPr>
            <w:tcW w:w="1985" w:type="dxa"/>
            <w:tcBorders>
              <w:top w:val="nil"/>
              <w:left w:val="nil"/>
              <w:bottom w:val="single" w:sz="8" w:space="0" w:color="61BC4D"/>
              <w:right w:val="single" w:sz="8" w:space="0" w:color="61BC4D"/>
            </w:tcBorders>
            <w:vAlign w:val="center"/>
            <w:hideMark/>
          </w:tcPr>
          <w:p w14:paraId="162BB4A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Faible visibilité ; rapports non numérisés</w:t>
            </w:r>
          </w:p>
        </w:tc>
        <w:tc>
          <w:tcPr>
            <w:tcW w:w="2268" w:type="dxa"/>
            <w:tcBorders>
              <w:top w:val="nil"/>
              <w:left w:val="nil"/>
              <w:bottom w:val="single" w:sz="8" w:space="0" w:color="61BC4D"/>
              <w:right w:val="single" w:sz="8" w:space="0" w:color="61BC4D"/>
            </w:tcBorders>
            <w:vAlign w:val="center"/>
            <w:hideMark/>
          </w:tcPr>
          <w:p w14:paraId="25BD5D8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Créer une base interactive, former les agents et publier semestriellement</w:t>
            </w:r>
          </w:p>
        </w:tc>
        <w:tc>
          <w:tcPr>
            <w:tcW w:w="1560" w:type="dxa"/>
            <w:tcBorders>
              <w:top w:val="nil"/>
              <w:left w:val="nil"/>
              <w:bottom w:val="single" w:sz="8" w:space="0" w:color="61BC4D"/>
              <w:right w:val="single" w:sz="8" w:space="0" w:color="61BC4D"/>
            </w:tcBorders>
            <w:vAlign w:val="center"/>
            <w:hideMark/>
          </w:tcPr>
          <w:p w14:paraId="6CB8EF9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850" w:type="dxa"/>
            <w:tcBorders>
              <w:top w:val="nil"/>
              <w:left w:val="nil"/>
              <w:bottom w:val="single" w:sz="8" w:space="0" w:color="61BC4D"/>
              <w:right w:val="single" w:sz="8" w:space="0" w:color="61BC4D"/>
            </w:tcBorders>
            <w:vAlign w:val="center"/>
            <w:hideMark/>
          </w:tcPr>
          <w:p w14:paraId="0DCD1408"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0F86412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2C7E9BF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1031EC9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de coordination</w:t>
            </w:r>
          </w:p>
        </w:tc>
        <w:tc>
          <w:tcPr>
            <w:tcW w:w="851" w:type="dxa"/>
            <w:tcBorders>
              <w:top w:val="nil"/>
              <w:left w:val="nil"/>
              <w:bottom w:val="single" w:sz="8" w:space="0" w:color="61BC4D"/>
              <w:right w:val="single" w:sz="8" w:space="0" w:color="61BC4D"/>
            </w:tcBorders>
            <w:vAlign w:val="center"/>
            <w:hideMark/>
          </w:tcPr>
          <w:p w14:paraId="664DDD2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6.1</w:t>
            </w:r>
          </w:p>
        </w:tc>
      </w:tr>
      <w:tr w:rsidR="00157DE1" w:rsidRPr="00CB4D41" w14:paraId="5044DD62"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6DBC9D4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1560" w:type="dxa"/>
            <w:tcBorders>
              <w:top w:val="nil"/>
              <w:left w:val="nil"/>
              <w:bottom w:val="single" w:sz="8" w:space="0" w:color="61BC4D"/>
              <w:right w:val="single" w:sz="8" w:space="0" w:color="61BC4D"/>
            </w:tcBorders>
            <w:vAlign w:val="center"/>
            <w:hideMark/>
          </w:tcPr>
          <w:p w14:paraId="77EAFAC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GES</w:t>
            </w:r>
          </w:p>
        </w:tc>
        <w:tc>
          <w:tcPr>
            <w:tcW w:w="1985" w:type="dxa"/>
            <w:tcBorders>
              <w:top w:val="nil"/>
              <w:left w:val="nil"/>
              <w:bottom w:val="single" w:sz="8" w:space="0" w:color="61BC4D"/>
              <w:right w:val="single" w:sz="8" w:space="0" w:color="61BC4D"/>
            </w:tcBorders>
            <w:vAlign w:val="center"/>
            <w:hideMark/>
          </w:tcPr>
          <w:p w14:paraId="0CA33E2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Absence de ventilation par entreprise</w:t>
            </w:r>
          </w:p>
        </w:tc>
        <w:tc>
          <w:tcPr>
            <w:tcW w:w="2268" w:type="dxa"/>
            <w:tcBorders>
              <w:top w:val="nil"/>
              <w:left w:val="nil"/>
              <w:bottom w:val="single" w:sz="8" w:space="0" w:color="61BC4D"/>
              <w:right w:val="single" w:sz="8" w:space="0" w:color="61BC4D"/>
            </w:tcBorders>
            <w:vAlign w:val="center"/>
            <w:hideMark/>
          </w:tcPr>
          <w:p w14:paraId="6D93DE8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Moderniser le suivi et créer un module digital</w:t>
            </w:r>
          </w:p>
        </w:tc>
        <w:tc>
          <w:tcPr>
            <w:tcW w:w="1560" w:type="dxa"/>
            <w:tcBorders>
              <w:top w:val="nil"/>
              <w:left w:val="nil"/>
              <w:bottom w:val="single" w:sz="8" w:space="0" w:color="61BC4D"/>
              <w:right w:val="single" w:sz="8" w:space="0" w:color="61BC4D"/>
            </w:tcBorders>
            <w:vAlign w:val="center"/>
            <w:hideMark/>
          </w:tcPr>
          <w:p w14:paraId="5CCD50D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850" w:type="dxa"/>
            <w:tcBorders>
              <w:top w:val="nil"/>
              <w:left w:val="nil"/>
              <w:bottom w:val="single" w:sz="8" w:space="0" w:color="61BC4D"/>
              <w:right w:val="single" w:sz="8" w:space="0" w:color="61BC4D"/>
            </w:tcBorders>
            <w:vAlign w:val="center"/>
            <w:hideMark/>
          </w:tcPr>
          <w:p w14:paraId="4BA21EFE"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18</w:t>
            </w:r>
          </w:p>
        </w:tc>
        <w:tc>
          <w:tcPr>
            <w:tcW w:w="992" w:type="dxa"/>
            <w:tcBorders>
              <w:top w:val="nil"/>
              <w:left w:val="nil"/>
              <w:bottom w:val="single" w:sz="8" w:space="0" w:color="61BC4D"/>
              <w:right w:val="single" w:sz="8" w:space="0" w:color="61BC4D"/>
            </w:tcBorders>
            <w:vAlign w:val="center"/>
            <w:hideMark/>
          </w:tcPr>
          <w:p w14:paraId="258BD18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7FF257BF"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0F1D389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Contraintes techniques</w:t>
            </w:r>
          </w:p>
        </w:tc>
        <w:tc>
          <w:tcPr>
            <w:tcW w:w="851" w:type="dxa"/>
            <w:tcBorders>
              <w:top w:val="nil"/>
              <w:left w:val="nil"/>
              <w:bottom w:val="single" w:sz="8" w:space="0" w:color="61BC4D"/>
              <w:right w:val="single" w:sz="8" w:space="0" w:color="61BC4D"/>
            </w:tcBorders>
            <w:vAlign w:val="center"/>
            <w:hideMark/>
          </w:tcPr>
          <w:p w14:paraId="6F0FE80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6.4</w:t>
            </w:r>
          </w:p>
        </w:tc>
      </w:tr>
      <w:tr w:rsidR="00157DE1" w:rsidRPr="00CB4D41" w14:paraId="10AF8B29"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7CEDE33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1560" w:type="dxa"/>
            <w:tcBorders>
              <w:top w:val="nil"/>
              <w:left w:val="nil"/>
              <w:bottom w:val="single" w:sz="8" w:space="0" w:color="61BC4D"/>
              <w:right w:val="single" w:sz="8" w:space="0" w:color="61BC4D"/>
            </w:tcBorders>
            <w:vAlign w:val="center"/>
            <w:hideMark/>
          </w:tcPr>
          <w:p w14:paraId="4D32EDC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Réhabilitation des sites</w:t>
            </w:r>
          </w:p>
        </w:tc>
        <w:tc>
          <w:tcPr>
            <w:tcW w:w="1985" w:type="dxa"/>
            <w:tcBorders>
              <w:top w:val="nil"/>
              <w:left w:val="nil"/>
              <w:bottom w:val="single" w:sz="8" w:space="0" w:color="61BC4D"/>
              <w:right w:val="single" w:sz="8" w:space="0" w:color="61BC4D"/>
            </w:tcBorders>
            <w:vAlign w:val="center"/>
            <w:hideMark/>
          </w:tcPr>
          <w:p w14:paraId="35D7DC4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Suivi manuel, pas de base numérique</w:t>
            </w:r>
          </w:p>
        </w:tc>
        <w:tc>
          <w:tcPr>
            <w:tcW w:w="2268" w:type="dxa"/>
            <w:tcBorders>
              <w:top w:val="nil"/>
              <w:left w:val="nil"/>
              <w:bottom w:val="single" w:sz="8" w:space="0" w:color="61BC4D"/>
              <w:right w:val="single" w:sz="8" w:space="0" w:color="61BC4D"/>
            </w:tcBorders>
            <w:vAlign w:val="center"/>
            <w:hideMark/>
          </w:tcPr>
          <w:p w14:paraId="35298CF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Créer une base digitale nationale avec reporting en ligne</w:t>
            </w:r>
          </w:p>
        </w:tc>
        <w:tc>
          <w:tcPr>
            <w:tcW w:w="1560" w:type="dxa"/>
            <w:tcBorders>
              <w:top w:val="nil"/>
              <w:left w:val="nil"/>
              <w:bottom w:val="single" w:sz="8" w:space="0" w:color="61BC4D"/>
              <w:right w:val="single" w:sz="8" w:space="0" w:color="61BC4D"/>
            </w:tcBorders>
            <w:vAlign w:val="center"/>
            <w:hideMark/>
          </w:tcPr>
          <w:p w14:paraId="1611DA6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w:t>
            </w:r>
          </w:p>
        </w:tc>
        <w:tc>
          <w:tcPr>
            <w:tcW w:w="850" w:type="dxa"/>
            <w:tcBorders>
              <w:top w:val="nil"/>
              <w:left w:val="nil"/>
              <w:bottom w:val="single" w:sz="8" w:space="0" w:color="61BC4D"/>
              <w:right w:val="single" w:sz="8" w:space="0" w:color="61BC4D"/>
            </w:tcBorders>
            <w:vAlign w:val="center"/>
            <w:hideMark/>
          </w:tcPr>
          <w:p w14:paraId="45F3EF11"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18</w:t>
            </w:r>
          </w:p>
        </w:tc>
        <w:tc>
          <w:tcPr>
            <w:tcW w:w="992" w:type="dxa"/>
            <w:tcBorders>
              <w:top w:val="nil"/>
              <w:left w:val="nil"/>
              <w:bottom w:val="single" w:sz="8" w:space="0" w:color="61BC4D"/>
              <w:right w:val="single" w:sz="8" w:space="0" w:color="61BC4D"/>
            </w:tcBorders>
            <w:vAlign w:val="center"/>
            <w:hideMark/>
          </w:tcPr>
          <w:p w14:paraId="3A27369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0D67244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48E7088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Suivi irrégulier</w:t>
            </w:r>
          </w:p>
        </w:tc>
        <w:tc>
          <w:tcPr>
            <w:tcW w:w="851" w:type="dxa"/>
            <w:tcBorders>
              <w:top w:val="nil"/>
              <w:left w:val="nil"/>
              <w:bottom w:val="single" w:sz="8" w:space="0" w:color="61BC4D"/>
              <w:right w:val="single" w:sz="8" w:space="0" w:color="61BC4D"/>
            </w:tcBorders>
            <w:vAlign w:val="center"/>
            <w:hideMark/>
          </w:tcPr>
          <w:p w14:paraId="623E723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6.4</w:t>
            </w:r>
          </w:p>
        </w:tc>
      </w:tr>
      <w:tr w:rsidR="00157DE1" w:rsidRPr="00CB4D41" w14:paraId="1E319EEE"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397A50B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Société Civile</w:t>
            </w:r>
          </w:p>
        </w:tc>
        <w:tc>
          <w:tcPr>
            <w:tcW w:w="1560" w:type="dxa"/>
            <w:tcBorders>
              <w:top w:val="nil"/>
              <w:left w:val="nil"/>
              <w:bottom w:val="single" w:sz="8" w:space="0" w:color="61BC4D"/>
              <w:right w:val="single" w:sz="8" w:space="0" w:color="61BC4D"/>
            </w:tcBorders>
            <w:vAlign w:val="center"/>
            <w:hideMark/>
          </w:tcPr>
          <w:p w14:paraId="2476D4B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Accès aux EIES</w:t>
            </w:r>
          </w:p>
        </w:tc>
        <w:tc>
          <w:tcPr>
            <w:tcW w:w="1985" w:type="dxa"/>
            <w:tcBorders>
              <w:top w:val="nil"/>
              <w:left w:val="nil"/>
              <w:bottom w:val="single" w:sz="8" w:space="0" w:color="61BC4D"/>
              <w:right w:val="single" w:sz="8" w:space="0" w:color="61BC4D"/>
            </w:tcBorders>
            <w:vAlign w:val="center"/>
            <w:hideMark/>
          </w:tcPr>
          <w:p w14:paraId="7DCA7931"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Versions intégrales difficilement accessibles</w:t>
            </w:r>
          </w:p>
        </w:tc>
        <w:tc>
          <w:tcPr>
            <w:tcW w:w="2268" w:type="dxa"/>
            <w:tcBorders>
              <w:top w:val="nil"/>
              <w:left w:val="nil"/>
              <w:bottom w:val="single" w:sz="8" w:space="0" w:color="61BC4D"/>
              <w:right w:val="single" w:sz="8" w:space="0" w:color="61BC4D"/>
            </w:tcBorders>
            <w:vAlign w:val="center"/>
            <w:hideMark/>
          </w:tcPr>
          <w:p w14:paraId="5B98466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Publier systématiquement les EIES sur le site MINEPDEP</w:t>
            </w:r>
          </w:p>
        </w:tc>
        <w:tc>
          <w:tcPr>
            <w:tcW w:w="1560" w:type="dxa"/>
            <w:tcBorders>
              <w:top w:val="nil"/>
              <w:left w:val="nil"/>
              <w:bottom w:val="single" w:sz="8" w:space="0" w:color="61BC4D"/>
              <w:right w:val="single" w:sz="8" w:space="0" w:color="61BC4D"/>
            </w:tcBorders>
            <w:vAlign w:val="center"/>
            <w:hideMark/>
          </w:tcPr>
          <w:p w14:paraId="7BD1FC7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MINEPDEP, OSC</w:t>
            </w:r>
          </w:p>
        </w:tc>
        <w:tc>
          <w:tcPr>
            <w:tcW w:w="850" w:type="dxa"/>
            <w:tcBorders>
              <w:top w:val="nil"/>
              <w:left w:val="nil"/>
              <w:bottom w:val="single" w:sz="8" w:space="0" w:color="61BC4D"/>
              <w:right w:val="single" w:sz="8" w:space="0" w:color="61BC4D"/>
            </w:tcBorders>
            <w:vAlign w:val="center"/>
            <w:hideMark/>
          </w:tcPr>
          <w:p w14:paraId="41D0392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w:t>
            </w:r>
          </w:p>
        </w:tc>
        <w:tc>
          <w:tcPr>
            <w:tcW w:w="992" w:type="dxa"/>
            <w:tcBorders>
              <w:top w:val="nil"/>
              <w:left w:val="nil"/>
              <w:bottom w:val="single" w:sz="8" w:space="0" w:color="61BC4D"/>
              <w:right w:val="single" w:sz="8" w:space="0" w:color="61BC4D"/>
            </w:tcBorders>
            <w:vAlign w:val="center"/>
            <w:hideMark/>
          </w:tcPr>
          <w:p w14:paraId="6C2D5CD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234E9AF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199CA67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Retards ou refus de publication</w:t>
            </w:r>
          </w:p>
        </w:tc>
        <w:tc>
          <w:tcPr>
            <w:tcW w:w="851" w:type="dxa"/>
            <w:tcBorders>
              <w:top w:val="nil"/>
              <w:left w:val="nil"/>
              <w:bottom w:val="single" w:sz="8" w:space="0" w:color="61BC4D"/>
              <w:right w:val="single" w:sz="8" w:space="0" w:color="61BC4D"/>
            </w:tcBorders>
            <w:vAlign w:val="center"/>
            <w:hideMark/>
          </w:tcPr>
          <w:p w14:paraId="29AAF2CE"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6.1</w:t>
            </w:r>
          </w:p>
        </w:tc>
      </w:tr>
      <w:tr w:rsidR="00157DE1" w:rsidRPr="00CB4D41" w14:paraId="70EFE149"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70AADEF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Société Civile</w:t>
            </w:r>
          </w:p>
        </w:tc>
        <w:tc>
          <w:tcPr>
            <w:tcW w:w="1560" w:type="dxa"/>
            <w:tcBorders>
              <w:top w:val="nil"/>
              <w:left w:val="nil"/>
              <w:bottom w:val="single" w:sz="8" w:space="0" w:color="61BC4D"/>
              <w:right w:val="single" w:sz="8" w:space="0" w:color="61BC4D"/>
            </w:tcBorders>
            <w:vAlign w:val="center"/>
            <w:hideMark/>
          </w:tcPr>
          <w:p w14:paraId="6639512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Cadastre minier peu accessible</w:t>
            </w:r>
          </w:p>
        </w:tc>
        <w:tc>
          <w:tcPr>
            <w:tcW w:w="1985" w:type="dxa"/>
            <w:tcBorders>
              <w:top w:val="nil"/>
              <w:left w:val="nil"/>
              <w:bottom w:val="single" w:sz="8" w:space="0" w:color="61BC4D"/>
              <w:right w:val="single" w:sz="8" w:space="0" w:color="61BC4D"/>
            </w:tcBorders>
            <w:vAlign w:val="center"/>
            <w:hideMark/>
          </w:tcPr>
          <w:p w14:paraId="3FEBE6EA"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Interface peu conviviale ; extraction impossible</w:t>
            </w:r>
          </w:p>
        </w:tc>
        <w:tc>
          <w:tcPr>
            <w:tcW w:w="2268" w:type="dxa"/>
            <w:tcBorders>
              <w:top w:val="nil"/>
              <w:left w:val="nil"/>
              <w:bottom w:val="single" w:sz="8" w:space="0" w:color="61BC4D"/>
              <w:right w:val="single" w:sz="8" w:space="0" w:color="61BC4D"/>
            </w:tcBorders>
            <w:vAlign w:val="center"/>
            <w:hideMark/>
          </w:tcPr>
          <w:p w14:paraId="5806885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Développer fonction d’extraction, former les utilisateurs, publier guide</w:t>
            </w:r>
          </w:p>
        </w:tc>
        <w:tc>
          <w:tcPr>
            <w:tcW w:w="1560" w:type="dxa"/>
            <w:tcBorders>
              <w:top w:val="nil"/>
              <w:left w:val="nil"/>
              <w:bottom w:val="single" w:sz="8" w:space="0" w:color="61BC4D"/>
              <w:right w:val="single" w:sz="8" w:space="0" w:color="61BC4D"/>
            </w:tcBorders>
            <w:vAlign w:val="center"/>
            <w:hideMark/>
          </w:tcPr>
          <w:p w14:paraId="0DA9F3B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MINMIDT, OSC</w:t>
            </w:r>
          </w:p>
        </w:tc>
        <w:tc>
          <w:tcPr>
            <w:tcW w:w="850" w:type="dxa"/>
            <w:tcBorders>
              <w:top w:val="nil"/>
              <w:left w:val="nil"/>
              <w:bottom w:val="single" w:sz="8" w:space="0" w:color="61BC4D"/>
              <w:right w:val="single" w:sz="8" w:space="0" w:color="61BC4D"/>
            </w:tcBorders>
            <w:vAlign w:val="center"/>
            <w:hideMark/>
          </w:tcPr>
          <w:p w14:paraId="4BF8439F"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9</w:t>
            </w:r>
          </w:p>
        </w:tc>
        <w:tc>
          <w:tcPr>
            <w:tcW w:w="992" w:type="dxa"/>
            <w:tcBorders>
              <w:top w:val="nil"/>
              <w:left w:val="nil"/>
              <w:bottom w:val="single" w:sz="8" w:space="0" w:color="61BC4D"/>
              <w:right w:val="single" w:sz="8" w:space="0" w:color="61BC4D"/>
            </w:tcBorders>
            <w:vAlign w:val="center"/>
            <w:hideMark/>
          </w:tcPr>
          <w:p w14:paraId="0E46F9D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53EA6C3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63474B88"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de coopération technique</w:t>
            </w:r>
          </w:p>
        </w:tc>
        <w:tc>
          <w:tcPr>
            <w:tcW w:w="851" w:type="dxa"/>
            <w:tcBorders>
              <w:top w:val="nil"/>
              <w:left w:val="nil"/>
              <w:bottom w:val="single" w:sz="8" w:space="0" w:color="61BC4D"/>
              <w:right w:val="single" w:sz="8" w:space="0" w:color="61BC4D"/>
            </w:tcBorders>
            <w:vAlign w:val="center"/>
            <w:hideMark/>
          </w:tcPr>
          <w:p w14:paraId="41298569"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2.2, 7.2</w:t>
            </w:r>
          </w:p>
        </w:tc>
      </w:tr>
      <w:tr w:rsidR="00157DE1" w:rsidRPr="00CB4D41" w14:paraId="61A2FED5"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3DA2AD0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Société Civile</w:t>
            </w:r>
          </w:p>
        </w:tc>
        <w:tc>
          <w:tcPr>
            <w:tcW w:w="1560" w:type="dxa"/>
            <w:tcBorders>
              <w:top w:val="nil"/>
              <w:left w:val="nil"/>
              <w:bottom w:val="single" w:sz="8" w:space="0" w:color="61BC4D"/>
              <w:right w:val="single" w:sz="8" w:space="0" w:color="61BC4D"/>
            </w:tcBorders>
            <w:vAlign w:val="center"/>
            <w:hideMark/>
          </w:tcPr>
          <w:p w14:paraId="24D5853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projet par projet</w:t>
            </w:r>
          </w:p>
        </w:tc>
        <w:tc>
          <w:tcPr>
            <w:tcW w:w="1985" w:type="dxa"/>
            <w:tcBorders>
              <w:top w:val="nil"/>
              <w:left w:val="nil"/>
              <w:bottom w:val="single" w:sz="8" w:space="0" w:color="61BC4D"/>
              <w:right w:val="single" w:sz="8" w:space="0" w:color="61BC4D"/>
            </w:tcBorders>
            <w:vAlign w:val="center"/>
            <w:hideMark/>
          </w:tcPr>
          <w:p w14:paraId="2E638ED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Informations éparpillées entre plusieurs plateformes</w:t>
            </w:r>
          </w:p>
        </w:tc>
        <w:tc>
          <w:tcPr>
            <w:tcW w:w="2268" w:type="dxa"/>
            <w:tcBorders>
              <w:top w:val="nil"/>
              <w:left w:val="nil"/>
              <w:bottom w:val="single" w:sz="8" w:space="0" w:color="61BC4D"/>
              <w:right w:val="single" w:sz="8" w:space="0" w:color="61BC4D"/>
            </w:tcBorders>
            <w:vAlign w:val="center"/>
            <w:hideMark/>
          </w:tcPr>
          <w:p w14:paraId="3C6C2A2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 xml:space="preserve">Créer une base centralisée </w:t>
            </w:r>
          </w:p>
        </w:tc>
        <w:tc>
          <w:tcPr>
            <w:tcW w:w="1560" w:type="dxa"/>
            <w:tcBorders>
              <w:top w:val="nil"/>
              <w:left w:val="nil"/>
              <w:bottom w:val="single" w:sz="8" w:space="0" w:color="61BC4D"/>
              <w:right w:val="single" w:sz="8" w:space="0" w:color="61BC4D"/>
            </w:tcBorders>
            <w:vAlign w:val="center"/>
            <w:hideMark/>
          </w:tcPr>
          <w:p w14:paraId="1C9A9FD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ITIE, OSC</w:t>
            </w:r>
          </w:p>
        </w:tc>
        <w:tc>
          <w:tcPr>
            <w:tcW w:w="850" w:type="dxa"/>
            <w:tcBorders>
              <w:top w:val="nil"/>
              <w:left w:val="nil"/>
              <w:bottom w:val="single" w:sz="8" w:space="0" w:color="61BC4D"/>
              <w:right w:val="single" w:sz="8" w:space="0" w:color="61BC4D"/>
            </w:tcBorders>
            <w:vAlign w:val="center"/>
            <w:hideMark/>
          </w:tcPr>
          <w:p w14:paraId="72F1F9DA"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12</w:t>
            </w:r>
          </w:p>
        </w:tc>
        <w:tc>
          <w:tcPr>
            <w:tcW w:w="992" w:type="dxa"/>
            <w:tcBorders>
              <w:top w:val="nil"/>
              <w:left w:val="nil"/>
              <w:bottom w:val="single" w:sz="8" w:space="0" w:color="61BC4D"/>
              <w:right w:val="single" w:sz="8" w:space="0" w:color="61BC4D"/>
            </w:tcBorders>
            <w:vAlign w:val="center"/>
            <w:hideMark/>
          </w:tcPr>
          <w:p w14:paraId="480B13BC"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Haute</w:t>
            </w:r>
          </w:p>
        </w:tc>
        <w:tc>
          <w:tcPr>
            <w:tcW w:w="1559" w:type="dxa"/>
            <w:tcBorders>
              <w:top w:val="nil"/>
              <w:left w:val="nil"/>
              <w:bottom w:val="single" w:sz="8" w:space="0" w:color="61BC4D"/>
              <w:right w:val="single" w:sz="8" w:space="0" w:color="61BC4D"/>
            </w:tcBorders>
            <w:vAlign w:val="center"/>
            <w:hideMark/>
          </w:tcPr>
          <w:p w14:paraId="6C00F0BB"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7B20232D"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Manque de coordination</w:t>
            </w:r>
          </w:p>
        </w:tc>
        <w:tc>
          <w:tcPr>
            <w:tcW w:w="851" w:type="dxa"/>
            <w:tcBorders>
              <w:top w:val="nil"/>
              <w:left w:val="nil"/>
              <w:bottom w:val="single" w:sz="8" w:space="0" w:color="61BC4D"/>
              <w:right w:val="single" w:sz="8" w:space="0" w:color="61BC4D"/>
            </w:tcBorders>
            <w:vAlign w:val="center"/>
            <w:hideMark/>
          </w:tcPr>
          <w:p w14:paraId="1AF26F4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4.7, 7.2</w:t>
            </w:r>
          </w:p>
        </w:tc>
      </w:tr>
      <w:tr w:rsidR="00157DE1" w:rsidRPr="00CB4D41" w14:paraId="6CD8787C" w14:textId="77777777" w:rsidTr="00610F0B">
        <w:trPr>
          <w:trHeight w:val="790"/>
        </w:trPr>
        <w:tc>
          <w:tcPr>
            <w:tcW w:w="1134" w:type="dxa"/>
            <w:tcBorders>
              <w:top w:val="nil"/>
              <w:left w:val="nil"/>
              <w:bottom w:val="single" w:sz="8" w:space="0" w:color="61BC4D"/>
              <w:right w:val="single" w:sz="8" w:space="0" w:color="61BC4D"/>
            </w:tcBorders>
            <w:vAlign w:val="center"/>
            <w:hideMark/>
          </w:tcPr>
          <w:p w14:paraId="451712A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lastRenderedPageBreak/>
              <w:t>Société Civile</w:t>
            </w:r>
          </w:p>
        </w:tc>
        <w:tc>
          <w:tcPr>
            <w:tcW w:w="1560" w:type="dxa"/>
            <w:tcBorders>
              <w:top w:val="nil"/>
              <w:left w:val="nil"/>
              <w:bottom w:val="single" w:sz="8" w:space="0" w:color="61BC4D"/>
              <w:right w:val="single" w:sz="8" w:space="0" w:color="61BC4D"/>
            </w:tcBorders>
            <w:vAlign w:val="center"/>
            <w:hideMark/>
          </w:tcPr>
          <w:p w14:paraId="2132C837"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artisanales</w:t>
            </w:r>
          </w:p>
        </w:tc>
        <w:tc>
          <w:tcPr>
            <w:tcW w:w="1985" w:type="dxa"/>
            <w:tcBorders>
              <w:top w:val="nil"/>
              <w:left w:val="nil"/>
              <w:bottom w:val="single" w:sz="8" w:space="0" w:color="61BC4D"/>
              <w:right w:val="single" w:sz="8" w:space="0" w:color="61BC4D"/>
            </w:tcBorders>
            <w:vAlign w:val="center"/>
            <w:hideMark/>
          </w:tcPr>
          <w:p w14:paraId="3437A705"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Artisanat exclu du cadastre ; faible traçabilité</w:t>
            </w:r>
          </w:p>
        </w:tc>
        <w:tc>
          <w:tcPr>
            <w:tcW w:w="2268" w:type="dxa"/>
            <w:tcBorders>
              <w:top w:val="nil"/>
              <w:left w:val="nil"/>
              <w:bottom w:val="single" w:sz="8" w:space="0" w:color="61BC4D"/>
              <w:right w:val="single" w:sz="8" w:space="0" w:color="61BC4D"/>
            </w:tcBorders>
            <w:vAlign w:val="center"/>
            <w:hideMark/>
          </w:tcPr>
          <w:p w14:paraId="560F37C4"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Recenser les données dans les communes et intégrer l’artisanat au cadastre</w:t>
            </w:r>
          </w:p>
        </w:tc>
        <w:tc>
          <w:tcPr>
            <w:tcW w:w="1560" w:type="dxa"/>
            <w:tcBorders>
              <w:top w:val="nil"/>
              <w:left w:val="nil"/>
              <w:bottom w:val="single" w:sz="8" w:space="0" w:color="61BC4D"/>
              <w:right w:val="single" w:sz="8" w:space="0" w:color="61BC4D"/>
            </w:tcBorders>
            <w:vAlign w:val="center"/>
            <w:hideMark/>
          </w:tcPr>
          <w:p w14:paraId="20DB48F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MINMIDT, Communes, OSC</w:t>
            </w:r>
          </w:p>
        </w:tc>
        <w:tc>
          <w:tcPr>
            <w:tcW w:w="850" w:type="dxa"/>
            <w:tcBorders>
              <w:top w:val="nil"/>
              <w:left w:val="nil"/>
              <w:bottom w:val="single" w:sz="8" w:space="0" w:color="61BC4D"/>
              <w:right w:val="single" w:sz="8" w:space="0" w:color="61BC4D"/>
            </w:tcBorders>
            <w:vAlign w:val="center"/>
            <w:hideMark/>
          </w:tcPr>
          <w:p w14:paraId="178A5797" w14:textId="77777777" w:rsidR="00B74738" w:rsidRPr="00B74738" w:rsidRDefault="00B74738" w:rsidP="00B74738">
            <w:pPr>
              <w:spacing w:after="0" w:line="240" w:lineRule="auto"/>
              <w:jc w:val="right"/>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18</w:t>
            </w:r>
          </w:p>
        </w:tc>
        <w:tc>
          <w:tcPr>
            <w:tcW w:w="992" w:type="dxa"/>
            <w:tcBorders>
              <w:top w:val="nil"/>
              <w:left w:val="nil"/>
              <w:bottom w:val="single" w:sz="8" w:space="0" w:color="61BC4D"/>
              <w:right w:val="single" w:sz="8" w:space="0" w:color="61BC4D"/>
            </w:tcBorders>
            <w:vAlign w:val="center"/>
            <w:hideMark/>
          </w:tcPr>
          <w:p w14:paraId="314EF002"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Moyenne</w:t>
            </w:r>
          </w:p>
        </w:tc>
        <w:tc>
          <w:tcPr>
            <w:tcW w:w="1559" w:type="dxa"/>
            <w:tcBorders>
              <w:top w:val="nil"/>
              <w:left w:val="nil"/>
              <w:bottom w:val="single" w:sz="8" w:space="0" w:color="61BC4D"/>
              <w:right w:val="single" w:sz="8" w:space="0" w:color="61BC4D"/>
            </w:tcBorders>
            <w:vAlign w:val="center"/>
            <w:hideMark/>
          </w:tcPr>
          <w:p w14:paraId="3C5A4063"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Prestataire IT, mise à niveau du système (En cours)</w:t>
            </w:r>
          </w:p>
        </w:tc>
        <w:tc>
          <w:tcPr>
            <w:tcW w:w="1417" w:type="dxa"/>
            <w:tcBorders>
              <w:top w:val="nil"/>
              <w:left w:val="nil"/>
              <w:bottom w:val="single" w:sz="8" w:space="0" w:color="61BC4D"/>
              <w:right w:val="single" w:sz="8" w:space="0" w:color="61BC4D"/>
            </w:tcBorders>
            <w:vAlign w:val="center"/>
            <w:hideMark/>
          </w:tcPr>
          <w:p w14:paraId="6D64F0A0"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Données non disponibles ou dispersées</w:t>
            </w:r>
          </w:p>
        </w:tc>
        <w:tc>
          <w:tcPr>
            <w:tcW w:w="851" w:type="dxa"/>
            <w:tcBorders>
              <w:top w:val="nil"/>
              <w:left w:val="nil"/>
              <w:bottom w:val="single" w:sz="8" w:space="0" w:color="61BC4D"/>
              <w:right w:val="single" w:sz="8" w:space="0" w:color="61BC4D"/>
            </w:tcBorders>
            <w:vAlign w:val="center"/>
            <w:hideMark/>
          </w:tcPr>
          <w:p w14:paraId="54702216" w14:textId="77777777" w:rsidR="00B74738" w:rsidRPr="00B74738" w:rsidRDefault="00B74738" w:rsidP="00B74738">
            <w:pPr>
              <w:spacing w:after="0" w:line="240" w:lineRule="auto"/>
              <w:rPr>
                <w:rFonts w:ascii="Kohinoor Devanagari" w:eastAsia="Times New Roman" w:hAnsi="Kohinoor Devanagari" w:cs="Kohinoor Devanagari"/>
                <w:color w:val="0D0D0D"/>
                <w:kern w:val="0"/>
                <w:sz w:val="19"/>
                <w:szCs w:val="19"/>
                <w:lang w:eastAsia="fr-FR"/>
                <w14:ligatures w14:val="none"/>
              </w:rPr>
            </w:pPr>
            <w:r w:rsidRPr="00B74738">
              <w:rPr>
                <w:rFonts w:ascii="Kohinoor Devanagari" w:eastAsia="Times New Roman" w:hAnsi="Kohinoor Devanagari" w:cs="Kohinoor Devanagari"/>
                <w:color w:val="0D0D0D"/>
                <w:kern w:val="0"/>
                <w:sz w:val="19"/>
                <w:szCs w:val="19"/>
                <w:lang w:eastAsia="fr-FR"/>
                <w14:ligatures w14:val="none"/>
              </w:rPr>
              <w:t>6.3</w:t>
            </w:r>
          </w:p>
        </w:tc>
      </w:tr>
    </w:tbl>
    <w:p w14:paraId="298A49A3" w14:textId="77777777" w:rsidR="00B74738" w:rsidRPr="00240C99" w:rsidRDefault="00B74738" w:rsidP="00A33255">
      <w:pPr>
        <w:spacing w:before="180" w:after="180" w:line="240" w:lineRule="auto"/>
        <w:jc w:val="both"/>
        <w:rPr>
          <w:rFonts w:ascii="Kohinoor Devanagari" w:hAnsi="Kohinoor Devanagari" w:cs="Kohinoor Devanagari"/>
          <w:b/>
          <w:bCs/>
          <w:color w:val="0D0D0D"/>
          <w:sz w:val="20"/>
          <w:szCs w:val="20"/>
          <w:shd w:val="clear" w:color="auto" w:fill="FFFFFF"/>
        </w:rPr>
      </w:pPr>
    </w:p>
    <w:p w14:paraId="47009B05" w14:textId="77777777" w:rsidR="000071DC" w:rsidRPr="009B3188" w:rsidRDefault="000071DC" w:rsidP="00FF3B79">
      <w:pPr>
        <w:spacing w:before="180" w:after="180" w:line="240" w:lineRule="auto"/>
        <w:rPr>
          <w:rFonts w:ascii="Kohinoor Devanagari" w:eastAsia="Times New Roman" w:hAnsi="Kohinoor Devanagari" w:cs="Kohinoor Devanagari"/>
          <w:b/>
          <w:bCs/>
          <w:color w:val="000000" w:themeColor="text1"/>
          <w:kern w:val="0"/>
          <w:lang w:eastAsia="fr-FR"/>
          <w14:ligatures w14:val="none"/>
        </w:rPr>
      </w:pPr>
    </w:p>
    <w:p w14:paraId="29C9996C" w14:textId="77777777" w:rsidR="000071DC" w:rsidRPr="009B3188" w:rsidRDefault="000071DC" w:rsidP="00FF3B79">
      <w:pPr>
        <w:spacing w:before="180" w:after="180" w:line="240" w:lineRule="auto"/>
        <w:rPr>
          <w:rFonts w:ascii="Kohinoor Devanagari" w:eastAsia="Times New Roman" w:hAnsi="Kohinoor Devanagari" w:cs="Kohinoor Devanagari"/>
          <w:b/>
          <w:bCs/>
          <w:color w:val="000000" w:themeColor="text1"/>
          <w:kern w:val="0"/>
          <w:lang w:eastAsia="fr-FR"/>
          <w14:ligatures w14:val="none"/>
        </w:rPr>
        <w:sectPr w:rsidR="000071DC" w:rsidRPr="009B3188" w:rsidSect="00157DE1">
          <w:headerReference w:type="default" r:id="rId43"/>
          <w:footerReference w:type="default" r:id="rId44"/>
          <w:pgSz w:w="16838" w:h="11906" w:orient="landscape"/>
          <w:pgMar w:top="1417" w:right="1417" w:bottom="1417" w:left="1417" w:header="708" w:footer="708" w:gutter="0"/>
          <w:cols w:space="708"/>
          <w:docGrid w:linePitch="360"/>
        </w:sectPr>
      </w:pPr>
    </w:p>
    <w:p w14:paraId="7B1C2BCF" w14:textId="1AEF0490" w:rsidR="00E019D7" w:rsidRPr="009B3188" w:rsidRDefault="00E019D7" w:rsidP="001059BE">
      <w:pPr>
        <w:pStyle w:val="Titre1"/>
        <w:numPr>
          <w:ilvl w:val="0"/>
          <w:numId w:val="8"/>
        </w:numPr>
        <w:shd w:val="clear" w:color="auto" w:fill="61BC4D"/>
        <w:spacing w:before="180" w:after="180"/>
        <w:ind w:left="357" w:hanging="357"/>
        <w:rPr>
          <w:rFonts w:ascii="Kohinoor Devanagari" w:hAnsi="Kohinoor Devanagari" w:cs="Kohinoor Devanagari"/>
          <w:b/>
          <w:bCs/>
          <w:color w:val="FFFFFF" w:themeColor="background1"/>
          <w:sz w:val="26"/>
          <w:szCs w:val="26"/>
        </w:rPr>
      </w:pPr>
      <w:bookmarkStart w:id="32" w:name="_Toc204691619"/>
      <w:r w:rsidRPr="009B3188">
        <w:rPr>
          <w:rFonts w:ascii="Kohinoor Devanagari" w:hAnsi="Kohinoor Devanagari" w:cs="Kohinoor Devanagari"/>
          <w:b/>
          <w:bCs/>
          <w:color w:val="FFFFFF" w:themeColor="background1"/>
          <w:sz w:val="26"/>
          <w:szCs w:val="26"/>
        </w:rPr>
        <w:lastRenderedPageBreak/>
        <w:t>Perception</w:t>
      </w:r>
      <w:r w:rsidR="00551A71" w:rsidRPr="009B3188">
        <w:rPr>
          <w:rFonts w:ascii="Kohinoor Devanagari" w:hAnsi="Kohinoor Devanagari" w:cs="Kohinoor Devanagari"/>
          <w:b/>
          <w:bCs/>
          <w:color w:val="FFFFFF" w:themeColor="background1"/>
          <w:sz w:val="26"/>
          <w:szCs w:val="26"/>
        </w:rPr>
        <w:t xml:space="preserve"> et attentes</w:t>
      </w:r>
      <w:r w:rsidRPr="009B3188">
        <w:rPr>
          <w:rFonts w:ascii="Kohinoor Devanagari" w:hAnsi="Kohinoor Devanagari" w:cs="Kohinoor Devanagari"/>
          <w:b/>
          <w:bCs/>
          <w:color w:val="FFFFFF" w:themeColor="background1"/>
          <w:sz w:val="26"/>
          <w:szCs w:val="26"/>
        </w:rPr>
        <w:t xml:space="preserve"> des Parties Prenantes</w:t>
      </w:r>
      <w:bookmarkEnd w:id="32"/>
    </w:p>
    <w:p w14:paraId="12E8D5CD" w14:textId="76B56EDE" w:rsidR="00607122" w:rsidRPr="00CB4D41" w:rsidRDefault="00607122" w:rsidP="00CB4D41">
      <w:pPr>
        <w:spacing w:before="120" w:after="120" w:line="240" w:lineRule="auto"/>
        <w:jc w:val="both"/>
        <w:rPr>
          <w:rFonts w:ascii="Kohinoor Devanagari" w:hAnsi="Kohinoor Devanagari" w:cs="Kohinoor Devanagari"/>
          <w:color w:val="000000" w:themeColor="text1"/>
          <w:sz w:val="20"/>
          <w:szCs w:val="20"/>
        </w:rPr>
      </w:pPr>
      <w:r w:rsidRPr="00CB4D41">
        <w:rPr>
          <w:rFonts w:ascii="Kohinoor Devanagari" w:hAnsi="Kohinoor Devanagari" w:cs="Kohinoor Devanagari"/>
          <w:color w:val="000000" w:themeColor="text1"/>
          <w:sz w:val="20"/>
          <w:szCs w:val="20"/>
        </w:rPr>
        <w:t xml:space="preserve">Cette section présente les résultats des deux questionnaires (Annexes </w:t>
      </w:r>
      <w:r w:rsidR="007360A1">
        <w:rPr>
          <w:rFonts w:ascii="Kohinoor Devanagari" w:hAnsi="Kohinoor Devanagari" w:cs="Kohinoor Devanagari"/>
          <w:color w:val="000000" w:themeColor="text1"/>
          <w:sz w:val="20"/>
          <w:szCs w:val="20"/>
        </w:rPr>
        <w:t>9.</w:t>
      </w:r>
      <w:r w:rsidRPr="00CB4D41">
        <w:rPr>
          <w:rFonts w:ascii="Kohinoor Devanagari" w:hAnsi="Kohinoor Devanagari" w:cs="Kohinoor Devanagari"/>
          <w:color w:val="000000" w:themeColor="text1"/>
          <w:sz w:val="20"/>
          <w:szCs w:val="20"/>
        </w:rPr>
        <w:t xml:space="preserve">1 et </w:t>
      </w:r>
      <w:r w:rsidR="007360A1">
        <w:rPr>
          <w:rFonts w:ascii="Kohinoor Devanagari" w:hAnsi="Kohinoor Devanagari" w:cs="Kohinoor Devanagari"/>
          <w:color w:val="000000" w:themeColor="text1"/>
          <w:sz w:val="20"/>
          <w:szCs w:val="20"/>
        </w:rPr>
        <w:t>9.2</w:t>
      </w:r>
      <w:r w:rsidRPr="00CB4D41">
        <w:rPr>
          <w:rFonts w:ascii="Kohinoor Devanagari" w:hAnsi="Kohinoor Devanagari" w:cs="Kohinoor Devanagari"/>
          <w:color w:val="000000" w:themeColor="text1"/>
          <w:sz w:val="20"/>
          <w:szCs w:val="20"/>
        </w:rPr>
        <w:t>) administrés aux parties prenantes identifiées en section 2.2, portant sur l’utilisation actuelle des données ITIE et les attentes relatives à leur intégration dans les systèmes gouvernementaux.</w:t>
      </w:r>
    </w:p>
    <w:p w14:paraId="45984445" w14:textId="43E4652E" w:rsidR="00DC2EDA" w:rsidRPr="00DC2EDA" w:rsidRDefault="00DC2EDA" w:rsidP="00CB4D41">
      <w:pPr>
        <w:pStyle w:val="Titre2"/>
        <w:numPr>
          <w:ilvl w:val="1"/>
          <w:numId w:val="8"/>
        </w:numPr>
        <w:shd w:val="clear" w:color="auto" w:fill="FFFFFF" w:themeFill="background1"/>
        <w:spacing w:before="120" w:after="120" w:line="240" w:lineRule="auto"/>
        <w:jc w:val="both"/>
        <w:rPr>
          <w:rFonts w:ascii="Kohinoor Devanagari" w:eastAsia="Times New Roman" w:hAnsi="Kohinoor Devanagari" w:cs="Kohinoor Devanagari"/>
          <w:b/>
          <w:bCs/>
          <w:color w:val="000000" w:themeColor="text1"/>
          <w:sz w:val="20"/>
          <w:szCs w:val="20"/>
          <w:lang w:eastAsia="fr-FR"/>
        </w:rPr>
      </w:pPr>
      <w:bookmarkStart w:id="33" w:name="_Toc204691620"/>
      <w:r w:rsidRPr="00DC2EDA">
        <w:rPr>
          <w:rFonts w:ascii="Kohinoor Devanagari" w:eastAsia="Times New Roman" w:hAnsi="Kohinoor Devanagari" w:cs="Kohinoor Devanagari"/>
          <w:b/>
          <w:bCs/>
          <w:color w:val="000000" w:themeColor="text1"/>
          <w:sz w:val="20"/>
          <w:szCs w:val="20"/>
          <w:lang w:eastAsia="fr-FR"/>
        </w:rPr>
        <w:t xml:space="preserve">Analyse des perceptions et pratiques des </w:t>
      </w:r>
      <w:r w:rsidR="003B207B" w:rsidRPr="00CB4D41">
        <w:rPr>
          <w:rFonts w:ascii="Kohinoor Devanagari" w:eastAsia="Times New Roman" w:hAnsi="Kohinoor Devanagari" w:cs="Kohinoor Devanagari"/>
          <w:b/>
          <w:bCs/>
          <w:color w:val="000000" w:themeColor="text1"/>
          <w:sz w:val="20"/>
          <w:szCs w:val="20"/>
          <w:lang w:eastAsia="fr-FR"/>
        </w:rPr>
        <w:t>fournisseurs</w:t>
      </w:r>
      <w:r w:rsidRPr="00DC2EDA">
        <w:rPr>
          <w:rFonts w:ascii="Kohinoor Devanagari" w:eastAsia="Times New Roman" w:hAnsi="Kohinoor Devanagari" w:cs="Kohinoor Devanagari"/>
          <w:b/>
          <w:bCs/>
          <w:color w:val="000000" w:themeColor="text1"/>
          <w:sz w:val="20"/>
          <w:szCs w:val="20"/>
          <w:lang w:eastAsia="fr-FR"/>
        </w:rPr>
        <w:t xml:space="preserve"> de données ITIE</w:t>
      </w:r>
      <w:bookmarkEnd w:id="33"/>
    </w:p>
    <w:p w14:paraId="7D7FE73A" w14:textId="05AD4A98"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Cette section présente une analyse des réponses issues du questionnaire adressé aux </w:t>
      </w:r>
      <w:r w:rsidR="00CB4D41" w:rsidRPr="00CB4D41">
        <w:rPr>
          <w:rFonts w:ascii="Kohinoor Devanagari" w:hAnsi="Kohinoor Devanagari" w:cs="Kohinoor Devanagari"/>
          <w:sz w:val="20"/>
          <w:szCs w:val="20"/>
          <w:lang w:eastAsia="fr-FR"/>
        </w:rPr>
        <w:t>fournisseurs</w:t>
      </w:r>
      <w:r w:rsidR="001501A4" w:rsidRPr="00CB4D41">
        <w:rPr>
          <w:rFonts w:ascii="Kohinoor Devanagari" w:hAnsi="Kohinoor Devanagari" w:cs="Kohinoor Devanagari"/>
          <w:sz w:val="20"/>
          <w:szCs w:val="20"/>
          <w:lang w:eastAsia="fr-FR"/>
        </w:rPr>
        <w:t xml:space="preserve"> </w:t>
      </w:r>
      <w:r w:rsidRPr="00DC2EDA">
        <w:rPr>
          <w:rFonts w:ascii="Kohinoor Devanagari" w:hAnsi="Kohinoor Devanagari" w:cs="Kohinoor Devanagari"/>
          <w:sz w:val="20"/>
          <w:szCs w:val="20"/>
          <w:lang w:eastAsia="fr-FR"/>
        </w:rPr>
        <w:t>de données extractives au Cameroun, notamment les administrations sectorielles, les régies financières, les entreprises publiques, les autorités locales et les entreprises privées. Elle vise à identifier les pratiques de collecte et de publication actuelles, les contraintes institutionnelles, les capacités techniques et les attentes vis-à-vis de l’intégration des données ITIE aux systèmes gouvernementaux.</w:t>
      </w:r>
    </w:p>
    <w:p w14:paraId="2ED69CF3" w14:textId="77777777"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(i) Disponibilité et accessibilité des données</w:t>
      </w:r>
    </w:p>
    <w:p w14:paraId="7A4FD9EF" w14:textId="03500FC6"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Les </w:t>
      </w:r>
      <w:r w:rsidR="00BC69BC" w:rsidRPr="00CB4D41">
        <w:rPr>
          <w:rFonts w:ascii="Kohinoor Devanagari" w:hAnsi="Kohinoor Devanagari" w:cs="Kohinoor Devanagari"/>
          <w:sz w:val="20"/>
          <w:szCs w:val="20"/>
          <w:lang w:eastAsia="fr-FR"/>
        </w:rPr>
        <w:t>fournisseurs de données</w:t>
      </w:r>
      <w:r w:rsidRPr="00DC2EDA">
        <w:rPr>
          <w:rFonts w:ascii="Kohinoor Devanagari" w:hAnsi="Kohinoor Devanagari" w:cs="Kohinoor Devanagari"/>
          <w:sz w:val="20"/>
          <w:szCs w:val="20"/>
          <w:lang w:eastAsia="fr-FR"/>
        </w:rPr>
        <w:t xml:space="preserve"> confirment que la majorité des données requises par la Norme ITIE sont détenues en interne. Toutefois :</w:t>
      </w:r>
    </w:p>
    <w:p w14:paraId="6468A6D9" w14:textId="77777777" w:rsidR="00DC2EDA" w:rsidRPr="00DC2EDA" w:rsidRDefault="00DC2EDA" w:rsidP="00CB4D41">
      <w:pPr>
        <w:numPr>
          <w:ilvl w:val="0"/>
          <w:numId w:val="142"/>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57</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des répondants indiquent que certaines données essentielles (notamment fiscales, environnementales ou contractuelles) ne sont </w:t>
      </w:r>
      <w:r w:rsidRPr="00DC2EDA">
        <w:rPr>
          <w:rFonts w:ascii="Kohinoor Devanagari" w:hAnsi="Kohinoor Devanagari" w:cs="Kohinoor Devanagari"/>
          <w:b/>
          <w:bCs/>
          <w:sz w:val="20"/>
          <w:szCs w:val="20"/>
          <w:lang w:eastAsia="fr-FR"/>
        </w:rPr>
        <w:t>pas publiées en ligne</w:t>
      </w:r>
      <w:r w:rsidRPr="00DC2EDA">
        <w:rPr>
          <w:rFonts w:ascii="Kohinoor Devanagari" w:hAnsi="Kohinoor Devanagari" w:cs="Kohinoor Devanagari"/>
          <w:sz w:val="20"/>
          <w:szCs w:val="20"/>
          <w:lang w:eastAsia="fr-FR"/>
        </w:rPr>
        <w:t>.</w:t>
      </w:r>
    </w:p>
    <w:p w14:paraId="1DD5CAF2" w14:textId="77777777" w:rsidR="00DC2EDA" w:rsidRPr="00DC2EDA" w:rsidRDefault="00DC2EDA" w:rsidP="00CB4D41">
      <w:pPr>
        <w:numPr>
          <w:ilvl w:val="0"/>
          <w:numId w:val="142"/>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43</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estiment que les informations disponibles sont </w:t>
      </w:r>
      <w:r w:rsidRPr="00DC2EDA">
        <w:rPr>
          <w:rFonts w:ascii="Kohinoor Devanagari" w:hAnsi="Kohinoor Devanagari" w:cs="Kohinoor Devanagari"/>
          <w:b/>
          <w:bCs/>
          <w:sz w:val="20"/>
          <w:szCs w:val="20"/>
          <w:lang w:eastAsia="fr-FR"/>
        </w:rPr>
        <w:t>difficiles d’accès</w:t>
      </w:r>
      <w:r w:rsidRPr="00DC2EDA">
        <w:rPr>
          <w:rFonts w:ascii="Kohinoor Devanagari" w:hAnsi="Kohinoor Devanagari" w:cs="Kohinoor Devanagari"/>
          <w:sz w:val="20"/>
          <w:szCs w:val="20"/>
          <w:lang w:eastAsia="fr-FR"/>
        </w:rPr>
        <w:t>, souvent sous forme papier ou éparpillées sur différents supports ou plateformes.</w:t>
      </w:r>
    </w:p>
    <w:p w14:paraId="2DD75FE9"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Analyse</w:t>
      </w:r>
      <w:r w:rsidRPr="00DC2EDA">
        <w:rPr>
          <w:rFonts w:ascii="Kohinoor Devanagari" w:hAnsi="Kohinoor Devanagari" w:cs="Kohinoor Devanagari"/>
          <w:sz w:val="20"/>
          <w:szCs w:val="20"/>
          <w:lang w:eastAsia="fr-FR"/>
        </w:rPr>
        <w:t xml:space="preserve"> : La centralisation des données fait défaut, ce qui freine leur accessibilité par les utilisateurs externes. De plus, l’absence de politique d’ouverture des données renforce le cloisonnement institutionnel.</w:t>
      </w:r>
    </w:p>
    <w:p w14:paraId="70728CE0" w14:textId="77777777"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(ii) Dispositions institutionnelles et existence de politiques de divulgation</w:t>
      </w:r>
    </w:p>
    <w:p w14:paraId="75935C31"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À la question sur l’existence de directives ou politiques internes encadrant la divulgation :</w:t>
      </w:r>
    </w:p>
    <w:p w14:paraId="3144B684" w14:textId="77777777" w:rsidR="00DC2EDA" w:rsidRPr="00DC2EDA" w:rsidRDefault="00DC2EDA" w:rsidP="00CB4D41">
      <w:pPr>
        <w:numPr>
          <w:ilvl w:val="0"/>
          <w:numId w:val="143"/>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Seules </w:t>
      </w:r>
      <w:r w:rsidRPr="00DC2EDA">
        <w:rPr>
          <w:rFonts w:ascii="Kohinoor Devanagari" w:hAnsi="Kohinoor Devanagari" w:cs="Kohinoor Devanagari"/>
          <w:b/>
          <w:bCs/>
          <w:sz w:val="20"/>
          <w:szCs w:val="20"/>
          <w:lang w:eastAsia="fr-FR"/>
        </w:rPr>
        <w:t>2 entités sur 14 (14,3</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disposent d’une politique ou directive formelle (note interne, manuel, instruction).</w:t>
      </w:r>
    </w:p>
    <w:p w14:paraId="341AC364" w14:textId="77777777" w:rsidR="00DC2EDA" w:rsidRPr="00DC2EDA" w:rsidRDefault="00DC2EDA" w:rsidP="00CB4D41">
      <w:pPr>
        <w:numPr>
          <w:ilvl w:val="0"/>
          <w:numId w:val="143"/>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Dans </w:t>
      </w:r>
      <w:r w:rsidRPr="00DC2EDA">
        <w:rPr>
          <w:rFonts w:ascii="Kohinoor Devanagari" w:hAnsi="Kohinoor Devanagari" w:cs="Kohinoor Devanagari"/>
          <w:b/>
          <w:bCs/>
          <w:sz w:val="20"/>
          <w:szCs w:val="20"/>
          <w:lang w:eastAsia="fr-FR"/>
        </w:rPr>
        <w:t>85,7</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des cas, la publication de données repose sur des </w:t>
      </w:r>
      <w:r w:rsidRPr="00DC2EDA">
        <w:rPr>
          <w:rFonts w:ascii="Kohinoor Devanagari" w:hAnsi="Kohinoor Devanagari" w:cs="Kohinoor Devanagari"/>
          <w:b/>
          <w:bCs/>
          <w:sz w:val="20"/>
          <w:szCs w:val="20"/>
          <w:lang w:eastAsia="fr-FR"/>
        </w:rPr>
        <w:t>pratiques informelles ou ponctuelles</w:t>
      </w:r>
      <w:r w:rsidRPr="00DC2EDA">
        <w:rPr>
          <w:rFonts w:ascii="Kohinoor Devanagari" w:hAnsi="Kohinoor Devanagari" w:cs="Kohinoor Devanagari"/>
          <w:sz w:val="20"/>
          <w:szCs w:val="20"/>
          <w:lang w:eastAsia="fr-FR"/>
        </w:rPr>
        <w:t>, souvent liées aux sollicitations du Secrétariat Technique Permanent de l’ITIE.</w:t>
      </w:r>
    </w:p>
    <w:p w14:paraId="01C69A37"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Analyse</w:t>
      </w:r>
      <w:r w:rsidRPr="00DC2EDA">
        <w:rPr>
          <w:rFonts w:ascii="Kohinoor Devanagari" w:hAnsi="Kohinoor Devanagari" w:cs="Kohinoor Devanagari"/>
          <w:sz w:val="20"/>
          <w:szCs w:val="20"/>
          <w:lang w:eastAsia="fr-FR"/>
        </w:rPr>
        <w:t xml:space="preserve"> : L’absence d’un cadre formel limite la régularité, la pérennité et la transparence des publications. Sans base juridique ou administrative, les données restent vulnérables à des arbitrages politiques ou administratifs.</w:t>
      </w:r>
    </w:p>
    <w:p w14:paraId="77299C4C" w14:textId="77777777"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(iii) Outils et systèmes d'information utilisés pour la gestion des données</w:t>
      </w:r>
    </w:p>
    <w:p w14:paraId="125E0925"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Concernant les modes de traitement et de stockage :</w:t>
      </w:r>
    </w:p>
    <w:p w14:paraId="3C919BE5" w14:textId="7C9167D1" w:rsidR="00DC2EDA" w:rsidRPr="00DC2EDA" w:rsidRDefault="00DC2EDA" w:rsidP="00CB4D41">
      <w:pPr>
        <w:numPr>
          <w:ilvl w:val="0"/>
          <w:numId w:val="144"/>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64</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des </w:t>
      </w:r>
      <w:r w:rsidR="00BC69BC" w:rsidRPr="00CB4D41">
        <w:rPr>
          <w:rFonts w:ascii="Kohinoor Devanagari" w:hAnsi="Kohinoor Devanagari" w:cs="Kohinoor Devanagari"/>
          <w:sz w:val="20"/>
          <w:szCs w:val="20"/>
          <w:lang w:eastAsia="fr-FR"/>
        </w:rPr>
        <w:t>enti</w:t>
      </w:r>
      <w:r w:rsidR="004C71D3" w:rsidRPr="00CB4D41">
        <w:rPr>
          <w:rFonts w:ascii="Kohinoor Devanagari" w:hAnsi="Kohinoor Devanagari" w:cs="Kohinoor Devanagari"/>
          <w:sz w:val="20"/>
          <w:szCs w:val="20"/>
          <w:lang w:eastAsia="fr-FR"/>
        </w:rPr>
        <w:t>tés</w:t>
      </w:r>
      <w:r w:rsidR="00971551" w:rsidRPr="00CB4D41">
        <w:rPr>
          <w:rFonts w:ascii="Kohinoor Devanagari" w:hAnsi="Kohinoor Devanagari" w:cs="Kohinoor Devanagari"/>
          <w:sz w:val="20"/>
          <w:szCs w:val="20"/>
          <w:lang w:eastAsia="fr-FR"/>
        </w:rPr>
        <w:t xml:space="preserve"> fournisseurs de données</w:t>
      </w:r>
      <w:r w:rsidRPr="00DC2EDA">
        <w:rPr>
          <w:rFonts w:ascii="Kohinoor Devanagari" w:hAnsi="Kohinoor Devanagari" w:cs="Kohinoor Devanagari"/>
          <w:sz w:val="20"/>
          <w:szCs w:val="20"/>
          <w:lang w:eastAsia="fr-FR"/>
        </w:rPr>
        <w:t xml:space="preserve"> utilisent </w:t>
      </w:r>
      <w:r w:rsidRPr="00DC2EDA">
        <w:rPr>
          <w:rFonts w:ascii="Kohinoor Devanagari" w:hAnsi="Kohinoor Devanagari" w:cs="Kohinoor Devanagari"/>
          <w:b/>
          <w:bCs/>
          <w:sz w:val="20"/>
          <w:szCs w:val="20"/>
          <w:lang w:eastAsia="fr-FR"/>
        </w:rPr>
        <w:t>Excel ou Word</w:t>
      </w:r>
      <w:r w:rsidRPr="00DC2EDA">
        <w:rPr>
          <w:rFonts w:ascii="Kohinoor Devanagari" w:hAnsi="Kohinoor Devanagari" w:cs="Kohinoor Devanagari"/>
          <w:sz w:val="20"/>
          <w:szCs w:val="20"/>
          <w:lang w:eastAsia="fr-FR"/>
        </w:rPr>
        <w:t xml:space="preserve"> pour compiler les données ITIE.</w:t>
      </w:r>
    </w:p>
    <w:p w14:paraId="391676A9" w14:textId="77777777" w:rsidR="00DC2EDA" w:rsidRPr="00DC2EDA" w:rsidRDefault="00DC2EDA" w:rsidP="00CB4D41">
      <w:pPr>
        <w:numPr>
          <w:ilvl w:val="0"/>
          <w:numId w:val="144"/>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lastRenderedPageBreak/>
        <w:t xml:space="preserve">Seules </w:t>
      </w:r>
      <w:r w:rsidRPr="00DC2EDA">
        <w:rPr>
          <w:rFonts w:ascii="Kohinoor Devanagari" w:hAnsi="Kohinoor Devanagari" w:cs="Kohinoor Devanagari"/>
          <w:b/>
          <w:bCs/>
          <w:sz w:val="20"/>
          <w:szCs w:val="20"/>
          <w:lang w:eastAsia="fr-FR"/>
        </w:rPr>
        <w:t>3 entités (21,4</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disposent d’un système d'information dédié ou intégré (ex. : cadastre minier, logiciel comptable, base de données SIG).</w:t>
      </w:r>
    </w:p>
    <w:p w14:paraId="2DD2FC66" w14:textId="24079E60" w:rsidR="00DC2EDA" w:rsidRPr="00DC2EDA" w:rsidRDefault="00DC2EDA" w:rsidP="00CB4D41">
      <w:pPr>
        <w:numPr>
          <w:ilvl w:val="0"/>
          <w:numId w:val="144"/>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Aucun </w:t>
      </w:r>
      <w:r w:rsidR="00971551" w:rsidRPr="00CB4D41">
        <w:rPr>
          <w:rFonts w:ascii="Kohinoor Devanagari" w:hAnsi="Kohinoor Devanagari" w:cs="Kohinoor Devanagari"/>
          <w:sz w:val="20"/>
          <w:szCs w:val="20"/>
          <w:lang w:eastAsia="fr-FR"/>
        </w:rPr>
        <w:t>entité</w:t>
      </w:r>
      <w:r w:rsidRPr="00DC2EDA">
        <w:rPr>
          <w:rFonts w:ascii="Kohinoor Devanagari" w:hAnsi="Kohinoor Devanagari" w:cs="Kohinoor Devanagari"/>
          <w:sz w:val="20"/>
          <w:szCs w:val="20"/>
          <w:lang w:eastAsia="fr-FR"/>
        </w:rPr>
        <w:t xml:space="preserve"> ne mentionne une </w:t>
      </w:r>
      <w:r w:rsidRPr="00DC2EDA">
        <w:rPr>
          <w:rFonts w:ascii="Kohinoor Devanagari" w:hAnsi="Kohinoor Devanagari" w:cs="Kohinoor Devanagari"/>
          <w:b/>
          <w:bCs/>
          <w:sz w:val="20"/>
          <w:szCs w:val="20"/>
          <w:lang w:eastAsia="fr-FR"/>
        </w:rPr>
        <w:t>interopérabilité</w:t>
      </w:r>
      <w:r w:rsidRPr="00DC2EDA">
        <w:rPr>
          <w:rFonts w:ascii="Kohinoor Devanagari" w:hAnsi="Kohinoor Devanagari" w:cs="Kohinoor Devanagari"/>
          <w:sz w:val="20"/>
          <w:szCs w:val="20"/>
          <w:lang w:eastAsia="fr-FR"/>
        </w:rPr>
        <w:t xml:space="preserve"> avec d’autres plateformes publiques.</w:t>
      </w:r>
    </w:p>
    <w:p w14:paraId="1229A814"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Analyse</w:t>
      </w:r>
      <w:r w:rsidRPr="00DC2EDA">
        <w:rPr>
          <w:rFonts w:ascii="Kohinoor Devanagari" w:hAnsi="Kohinoor Devanagari" w:cs="Kohinoor Devanagari"/>
          <w:sz w:val="20"/>
          <w:szCs w:val="20"/>
          <w:lang w:eastAsia="fr-FR"/>
        </w:rPr>
        <w:t xml:space="preserve"> : L'absence de systèmes intégrés ou d’API restreint la possibilité de publier les données de manière dynamique et automatisée. Cela renforce la dépendance à des processus manuels, propices aux erreurs et aux retards.</w:t>
      </w:r>
    </w:p>
    <w:p w14:paraId="21814BA0" w14:textId="77777777"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(iv) Désignation de points focaux ou cellules dédiées</w:t>
      </w:r>
    </w:p>
    <w:p w14:paraId="783F0B9E" w14:textId="0157FAD0" w:rsidR="00DC2EDA" w:rsidRPr="00DC2EDA" w:rsidRDefault="00DC2EDA" w:rsidP="00CB4D41">
      <w:pPr>
        <w:numPr>
          <w:ilvl w:val="0"/>
          <w:numId w:val="145"/>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Seuls </w:t>
      </w:r>
      <w:r w:rsidRPr="00DC2EDA">
        <w:rPr>
          <w:rFonts w:ascii="Kohinoor Devanagari" w:hAnsi="Kohinoor Devanagari" w:cs="Kohinoor Devanagari"/>
          <w:b/>
          <w:bCs/>
          <w:sz w:val="20"/>
          <w:szCs w:val="20"/>
          <w:lang w:eastAsia="fr-FR"/>
        </w:rPr>
        <w:t xml:space="preserve">4 </w:t>
      </w:r>
      <w:r w:rsidR="00971551" w:rsidRPr="00CB4D41">
        <w:rPr>
          <w:rFonts w:ascii="Kohinoor Devanagari" w:hAnsi="Kohinoor Devanagari" w:cs="Kohinoor Devanagari"/>
          <w:b/>
          <w:bCs/>
          <w:sz w:val="20"/>
          <w:szCs w:val="20"/>
          <w:lang w:eastAsia="fr-FR"/>
        </w:rPr>
        <w:t>fournisseurs de données</w:t>
      </w:r>
      <w:r w:rsidRPr="00DC2EDA">
        <w:rPr>
          <w:rFonts w:ascii="Kohinoor Devanagari" w:hAnsi="Kohinoor Devanagari" w:cs="Kohinoor Devanagari"/>
          <w:b/>
          <w:bCs/>
          <w:sz w:val="20"/>
          <w:szCs w:val="20"/>
          <w:lang w:eastAsia="fr-FR"/>
        </w:rPr>
        <w:t xml:space="preserve"> (28,6</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disposent d’un </w:t>
      </w:r>
      <w:r w:rsidRPr="00DC2EDA">
        <w:rPr>
          <w:rFonts w:ascii="Kohinoor Devanagari" w:hAnsi="Kohinoor Devanagari" w:cs="Kohinoor Devanagari"/>
          <w:b/>
          <w:bCs/>
          <w:sz w:val="20"/>
          <w:szCs w:val="20"/>
          <w:lang w:eastAsia="fr-FR"/>
        </w:rPr>
        <w:t>point focal officiellement désigné</w:t>
      </w:r>
      <w:r w:rsidRPr="00DC2EDA">
        <w:rPr>
          <w:rFonts w:ascii="Kohinoor Devanagari" w:hAnsi="Kohinoor Devanagari" w:cs="Kohinoor Devanagari"/>
          <w:sz w:val="20"/>
          <w:szCs w:val="20"/>
          <w:lang w:eastAsia="fr-FR"/>
        </w:rPr>
        <w:t xml:space="preserve"> avec une lettre de mission.</w:t>
      </w:r>
    </w:p>
    <w:p w14:paraId="25ADAC14" w14:textId="77777777" w:rsidR="00DC2EDA" w:rsidRPr="00DC2EDA" w:rsidRDefault="00DC2EDA" w:rsidP="00CB4D41">
      <w:pPr>
        <w:numPr>
          <w:ilvl w:val="0"/>
          <w:numId w:val="145"/>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Dans les autres cas, la communication avec l’ITIE est assurée </w:t>
      </w:r>
      <w:r w:rsidRPr="00DC2EDA">
        <w:rPr>
          <w:rFonts w:ascii="Kohinoor Devanagari" w:hAnsi="Kohinoor Devanagari" w:cs="Kohinoor Devanagari"/>
          <w:b/>
          <w:bCs/>
          <w:sz w:val="20"/>
          <w:szCs w:val="20"/>
          <w:lang w:eastAsia="fr-FR"/>
        </w:rPr>
        <w:t>de manière informelle</w:t>
      </w:r>
      <w:r w:rsidRPr="00DC2EDA">
        <w:rPr>
          <w:rFonts w:ascii="Kohinoor Devanagari" w:hAnsi="Kohinoor Devanagari" w:cs="Kohinoor Devanagari"/>
          <w:sz w:val="20"/>
          <w:szCs w:val="20"/>
          <w:lang w:eastAsia="fr-FR"/>
        </w:rPr>
        <w:t>, souvent par des agents non spécialisés ou surchargés.</w:t>
      </w:r>
    </w:p>
    <w:p w14:paraId="12AF4287"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Aucun des répondants ne déclare disposer d’une </w:t>
      </w:r>
      <w:r w:rsidRPr="00DC2EDA">
        <w:rPr>
          <w:rFonts w:ascii="Kohinoor Devanagari" w:hAnsi="Kohinoor Devanagari" w:cs="Kohinoor Devanagari"/>
          <w:b/>
          <w:bCs/>
          <w:sz w:val="20"/>
          <w:szCs w:val="20"/>
          <w:lang w:eastAsia="fr-FR"/>
        </w:rPr>
        <w:t>cellule ou unité fonctionnelle</w:t>
      </w:r>
      <w:r w:rsidRPr="00DC2EDA">
        <w:rPr>
          <w:rFonts w:ascii="Kohinoor Devanagari" w:hAnsi="Kohinoor Devanagari" w:cs="Kohinoor Devanagari"/>
          <w:sz w:val="20"/>
          <w:szCs w:val="20"/>
          <w:lang w:eastAsia="fr-FR"/>
        </w:rPr>
        <w:t xml:space="preserve"> spécifiquement dédiée à la transparence, à la redevabilité ou aux données ouvertes.</w:t>
      </w:r>
    </w:p>
    <w:p w14:paraId="6897DE8D"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Analyse</w:t>
      </w:r>
      <w:r w:rsidRPr="00DC2EDA">
        <w:rPr>
          <w:rFonts w:ascii="Kohinoor Devanagari" w:hAnsi="Kohinoor Devanagari" w:cs="Kohinoor Devanagari"/>
          <w:sz w:val="20"/>
          <w:szCs w:val="20"/>
          <w:lang w:eastAsia="fr-FR"/>
        </w:rPr>
        <w:t xml:space="preserve"> : Cette informalité dans l’organisation interne nuit à la réactivité, à la qualité des données et à l’ancrage durable de la transparence institutionnelle.</w:t>
      </w:r>
    </w:p>
    <w:p w14:paraId="656A4AD7" w14:textId="77777777"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(v) Intégration dans le cycle ITIE et perception du rapportage</w:t>
      </w:r>
    </w:p>
    <w:p w14:paraId="39C6033B"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À la question sur leur participation au cycle ITIE :</w:t>
      </w:r>
    </w:p>
    <w:p w14:paraId="7C76C233" w14:textId="0D6DE8B7" w:rsidR="00DC2EDA" w:rsidRPr="00DC2EDA" w:rsidRDefault="00DC2EDA" w:rsidP="00CB4D41">
      <w:pPr>
        <w:numPr>
          <w:ilvl w:val="0"/>
          <w:numId w:val="146"/>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60</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des</w:t>
      </w:r>
      <w:r w:rsidR="00971551" w:rsidRPr="00CB4D41">
        <w:rPr>
          <w:rFonts w:ascii="Kohinoor Devanagari" w:hAnsi="Kohinoor Devanagari" w:cs="Kohinoor Devanagari"/>
          <w:sz w:val="20"/>
          <w:szCs w:val="20"/>
          <w:lang w:eastAsia="fr-FR"/>
        </w:rPr>
        <w:t xml:space="preserve"> entités</w:t>
      </w:r>
      <w:r w:rsidRPr="00DC2EDA">
        <w:rPr>
          <w:rFonts w:ascii="Kohinoor Devanagari" w:hAnsi="Kohinoor Devanagari" w:cs="Kohinoor Devanagari"/>
          <w:sz w:val="20"/>
          <w:szCs w:val="20"/>
          <w:lang w:eastAsia="fr-FR"/>
        </w:rPr>
        <w:t xml:space="preserve"> considèrent leur contribution limitée au seul remplissage du formulaire annuel.</w:t>
      </w:r>
    </w:p>
    <w:p w14:paraId="73052193" w14:textId="77777777" w:rsidR="00DC2EDA" w:rsidRPr="00DC2EDA" w:rsidRDefault="00DC2EDA" w:rsidP="00CB4D41">
      <w:pPr>
        <w:numPr>
          <w:ilvl w:val="0"/>
          <w:numId w:val="146"/>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 xml:space="preserve">Seules </w:t>
      </w:r>
      <w:r w:rsidRPr="00DC2EDA">
        <w:rPr>
          <w:rFonts w:ascii="Kohinoor Devanagari" w:hAnsi="Kohinoor Devanagari" w:cs="Kohinoor Devanagari"/>
          <w:b/>
          <w:bCs/>
          <w:sz w:val="20"/>
          <w:szCs w:val="20"/>
          <w:lang w:eastAsia="fr-FR"/>
        </w:rPr>
        <w:t>3 entités (21,4</w:t>
      </w:r>
      <w:r w:rsidRPr="00DC2EDA">
        <w:rPr>
          <w:rFonts w:ascii="Times New Roman" w:hAnsi="Times New Roman" w:cs="Times New Roman"/>
          <w:b/>
          <w:bCs/>
          <w:sz w:val="20"/>
          <w:szCs w:val="20"/>
          <w:lang w:eastAsia="fr-FR"/>
        </w:rPr>
        <w:t> </w:t>
      </w:r>
      <w:r w:rsidRPr="00DC2EDA">
        <w:rPr>
          <w:rFonts w:ascii="Kohinoor Devanagari" w:hAnsi="Kohinoor Devanagari" w:cs="Kohinoor Devanagari"/>
          <w:b/>
          <w:bCs/>
          <w:sz w:val="20"/>
          <w:szCs w:val="20"/>
          <w:lang w:eastAsia="fr-FR"/>
        </w:rPr>
        <w:t>%)</w:t>
      </w:r>
      <w:r w:rsidRPr="00DC2EDA">
        <w:rPr>
          <w:rFonts w:ascii="Kohinoor Devanagari" w:hAnsi="Kohinoor Devanagari" w:cs="Kohinoor Devanagari"/>
          <w:sz w:val="20"/>
          <w:szCs w:val="20"/>
          <w:lang w:eastAsia="fr-FR"/>
        </w:rPr>
        <w:t xml:space="preserve"> participent activement aux </w:t>
      </w:r>
      <w:r w:rsidRPr="00DC2EDA">
        <w:rPr>
          <w:rFonts w:ascii="Kohinoor Devanagari" w:hAnsi="Kohinoor Devanagari" w:cs="Kohinoor Devanagari"/>
          <w:b/>
          <w:bCs/>
          <w:sz w:val="20"/>
          <w:szCs w:val="20"/>
          <w:lang w:eastAsia="fr-FR"/>
        </w:rPr>
        <w:t>ateliers sectoriels</w:t>
      </w:r>
      <w:r w:rsidRPr="00DC2EDA">
        <w:rPr>
          <w:rFonts w:ascii="Kohinoor Devanagari" w:hAnsi="Kohinoor Devanagari" w:cs="Kohinoor Devanagari"/>
          <w:sz w:val="20"/>
          <w:szCs w:val="20"/>
          <w:lang w:eastAsia="fr-FR"/>
        </w:rPr>
        <w:t xml:space="preserve"> ou à la </w:t>
      </w:r>
      <w:r w:rsidRPr="00DC2EDA">
        <w:rPr>
          <w:rFonts w:ascii="Kohinoor Devanagari" w:hAnsi="Kohinoor Devanagari" w:cs="Kohinoor Devanagari"/>
          <w:b/>
          <w:bCs/>
          <w:sz w:val="20"/>
          <w:szCs w:val="20"/>
          <w:lang w:eastAsia="fr-FR"/>
        </w:rPr>
        <w:t>validation des données</w:t>
      </w:r>
      <w:r w:rsidRPr="00DC2EDA">
        <w:rPr>
          <w:rFonts w:ascii="Kohinoor Devanagari" w:hAnsi="Kohinoor Devanagari" w:cs="Kohinoor Devanagari"/>
          <w:sz w:val="20"/>
          <w:szCs w:val="20"/>
          <w:lang w:eastAsia="fr-FR"/>
        </w:rPr>
        <w:t>.</w:t>
      </w:r>
    </w:p>
    <w:p w14:paraId="26E5F8C5" w14:textId="1C1770FE" w:rsidR="00DC2EDA" w:rsidRPr="00DC2EDA" w:rsidRDefault="00DC2EDA" w:rsidP="00CB4D41">
      <w:pPr>
        <w:numPr>
          <w:ilvl w:val="0"/>
          <w:numId w:val="146"/>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Aucu</w:t>
      </w:r>
      <w:r w:rsidR="00971551" w:rsidRPr="00CB4D41">
        <w:rPr>
          <w:rFonts w:ascii="Kohinoor Devanagari" w:hAnsi="Kohinoor Devanagari" w:cs="Kohinoor Devanagari"/>
          <w:sz w:val="20"/>
          <w:szCs w:val="20"/>
          <w:lang w:eastAsia="fr-FR"/>
        </w:rPr>
        <w:t>ne entité</w:t>
      </w:r>
      <w:r w:rsidRPr="00DC2EDA">
        <w:rPr>
          <w:rFonts w:ascii="Kohinoor Devanagari" w:hAnsi="Kohinoor Devanagari" w:cs="Kohinoor Devanagari"/>
          <w:sz w:val="20"/>
          <w:szCs w:val="20"/>
          <w:lang w:eastAsia="fr-FR"/>
        </w:rPr>
        <w:t xml:space="preserve"> n’a signalé une </w:t>
      </w:r>
      <w:r w:rsidRPr="00DC2EDA">
        <w:rPr>
          <w:rFonts w:ascii="Kohinoor Devanagari" w:hAnsi="Kohinoor Devanagari" w:cs="Kohinoor Devanagari"/>
          <w:b/>
          <w:bCs/>
          <w:sz w:val="20"/>
          <w:szCs w:val="20"/>
          <w:lang w:eastAsia="fr-FR"/>
        </w:rPr>
        <w:t>analyse en retour</w:t>
      </w:r>
      <w:r w:rsidRPr="00DC2EDA">
        <w:rPr>
          <w:rFonts w:ascii="Kohinoor Devanagari" w:hAnsi="Kohinoor Devanagari" w:cs="Kohinoor Devanagari"/>
          <w:sz w:val="20"/>
          <w:szCs w:val="20"/>
          <w:lang w:eastAsia="fr-FR"/>
        </w:rPr>
        <w:t xml:space="preserve"> ou un </w:t>
      </w:r>
      <w:r w:rsidRPr="00DC2EDA">
        <w:rPr>
          <w:rFonts w:ascii="Kohinoor Devanagari" w:hAnsi="Kohinoor Devanagari" w:cs="Kohinoor Devanagari"/>
          <w:b/>
          <w:bCs/>
          <w:sz w:val="20"/>
          <w:szCs w:val="20"/>
          <w:lang w:eastAsia="fr-FR"/>
        </w:rPr>
        <w:t>retour d’information</w:t>
      </w:r>
      <w:r w:rsidRPr="00DC2EDA">
        <w:rPr>
          <w:rFonts w:ascii="Kohinoor Devanagari" w:hAnsi="Kohinoor Devanagari" w:cs="Kohinoor Devanagari"/>
          <w:sz w:val="20"/>
          <w:szCs w:val="20"/>
          <w:lang w:eastAsia="fr-FR"/>
        </w:rPr>
        <w:t xml:space="preserve"> structuré de la part du STP ou du Comité ITIE.</w:t>
      </w:r>
    </w:p>
    <w:p w14:paraId="5F85547D" w14:textId="51DE2C7E"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Analyse</w:t>
      </w:r>
      <w:r w:rsidRPr="00DC2EDA">
        <w:rPr>
          <w:rFonts w:ascii="Kohinoor Devanagari" w:hAnsi="Kohinoor Devanagari" w:cs="Kohinoor Devanagari"/>
          <w:sz w:val="20"/>
          <w:szCs w:val="20"/>
          <w:lang w:eastAsia="fr-FR"/>
        </w:rPr>
        <w:t xml:space="preserve"> : Le processus ITIE reste perçu comme une charge administrative, sans valeur ajoutée directe pour les</w:t>
      </w:r>
      <w:r w:rsidR="001501A4" w:rsidRPr="00CB4D41">
        <w:rPr>
          <w:rFonts w:ascii="Kohinoor Devanagari" w:hAnsi="Kohinoor Devanagari" w:cs="Kohinoor Devanagari"/>
          <w:sz w:val="20"/>
          <w:szCs w:val="20"/>
          <w:lang w:eastAsia="fr-FR"/>
        </w:rPr>
        <w:t xml:space="preserve"> fournisseurs de données</w:t>
      </w:r>
      <w:r w:rsidRPr="00DC2EDA">
        <w:rPr>
          <w:rFonts w:ascii="Kohinoor Devanagari" w:hAnsi="Kohinoor Devanagari" w:cs="Kohinoor Devanagari"/>
          <w:sz w:val="20"/>
          <w:szCs w:val="20"/>
          <w:lang w:eastAsia="fr-FR"/>
        </w:rPr>
        <w:t>. Cette déconnexion réduit les incitations à améliorer la qualité et la régularité des données.</w:t>
      </w:r>
    </w:p>
    <w:p w14:paraId="4132547B" w14:textId="77777777"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(vi) Contraintes techniques et institutionnelles à la divulgation systématique</w:t>
      </w:r>
    </w:p>
    <w:p w14:paraId="42DFD224" w14:textId="74B0E8E8"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Les principaux obstacles identifiés par les</w:t>
      </w:r>
      <w:r w:rsidR="00971551" w:rsidRPr="00CB4D41">
        <w:rPr>
          <w:rFonts w:ascii="Kohinoor Devanagari" w:hAnsi="Kohinoor Devanagari" w:cs="Kohinoor Devanagari"/>
          <w:sz w:val="20"/>
          <w:szCs w:val="20"/>
          <w:lang w:eastAsia="fr-FR"/>
        </w:rPr>
        <w:t xml:space="preserve"> fournisseurs de données</w:t>
      </w:r>
      <w:r w:rsidRPr="00DC2EDA">
        <w:rPr>
          <w:rFonts w:ascii="Kohinoor Devanagari" w:hAnsi="Kohinoor Devanagari" w:cs="Kohinoor Devanagari"/>
          <w:sz w:val="20"/>
          <w:szCs w:val="20"/>
          <w:lang w:eastAsia="fr-FR"/>
        </w:rPr>
        <w:t xml:space="preserve"> sont :</w:t>
      </w:r>
    </w:p>
    <w:p w14:paraId="1F8D98A8" w14:textId="77777777" w:rsidR="00DC2EDA" w:rsidRPr="00DC2EDA" w:rsidRDefault="00DC2EDA" w:rsidP="00CB4D41">
      <w:pPr>
        <w:numPr>
          <w:ilvl w:val="0"/>
          <w:numId w:val="147"/>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Manque de ressources humaines</w:t>
      </w:r>
      <w:r w:rsidRPr="00DC2EDA">
        <w:rPr>
          <w:rFonts w:ascii="Kohinoor Devanagari" w:hAnsi="Kohinoor Devanagari" w:cs="Kohinoor Devanagari"/>
          <w:sz w:val="20"/>
          <w:szCs w:val="20"/>
          <w:lang w:eastAsia="fr-FR"/>
        </w:rPr>
        <w:t xml:space="preserve"> formées à la gestion et à la diffusion de données (71</w:t>
      </w:r>
      <w:r w:rsidRPr="00DC2EDA">
        <w:rPr>
          <w:rFonts w:ascii="Times New Roman" w:hAnsi="Times New Roman" w:cs="Times New Roman"/>
          <w:sz w:val="20"/>
          <w:szCs w:val="20"/>
          <w:lang w:eastAsia="fr-FR"/>
        </w:rPr>
        <w:t> </w:t>
      </w:r>
      <w:r w:rsidRPr="00DC2EDA">
        <w:rPr>
          <w:rFonts w:ascii="Kohinoor Devanagari" w:hAnsi="Kohinoor Devanagari" w:cs="Kohinoor Devanagari"/>
          <w:sz w:val="20"/>
          <w:szCs w:val="20"/>
          <w:lang w:eastAsia="fr-FR"/>
        </w:rPr>
        <w:t>% des r</w:t>
      </w:r>
      <w:r w:rsidRPr="00DC2EDA">
        <w:rPr>
          <w:rFonts w:ascii="Mangal" w:hAnsi="Mangal" w:cs="Mangal"/>
          <w:sz w:val="20"/>
          <w:szCs w:val="20"/>
          <w:lang w:eastAsia="fr-FR"/>
        </w:rPr>
        <w:t>é</w:t>
      </w:r>
      <w:r w:rsidRPr="00DC2EDA">
        <w:rPr>
          <w:rFonts w:ascii="Kohinoor Devanagari" w:hAnsi="Kohinoor Devanagari" w:cs="Kohinoor Devanagari"/>
          <w:sz w:val="20"/>
          <w:szCs w:val="20"/>
          <w:lang w:eastAsia="fr-FR"/>
        </w:rPr>
        <w:t>pondants).</w:t>
      </w:r>
    </w:p>
    <w:p w14:paraId="162615E3" w14:textId="77777777" w:rsidR="00DC2EDA" w:rsidRPr="00DC2EDA" w:rsidRDefault="00DC2EDA" w:rsidP="00CB4D41">
      <w:pPr>
        <w:numPr>
          <w:ilvl w:val="0"/>
          <w:numId w:val="147"/>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Absence de directives institutionnelles</w:t>
      </w:r>
      <w:r w:rsidRPr="00DC2EDA">
        <w:rPr>
          <w:rFonts w:ascii="Kohinoor Devanagari" w:hAnsi="Kohinoor Devanagari" w:cs="Kohinoor Devanagari"/>
          <w:sz w:val="20"/>
          <w:szCs w:val="20"/>
          <w:lang w:eastAsia="fr-FR"/>
        </w:rPr>
        <w:t xml:space="preserve"> (64</w:t>
      </w:r>
      <w:r w:rsidRPr="00DC2EDA">
        <w:rPr>
          <w:rFonts w:ascii="Times New Roman" w:hAnsi="Times New Roman" w:cs="Times New Roman"/>
          <w:sz w:val="20"/>
          <w:szCs w:val="20"/>
          <w:lang w:eastAsia="fr-FR"/>
        </w:rPr>
        <w:t> </w:t>
      </w:r>
      <w:r w:rsidRPr="00DC2EDA">
        <w:rPr>
          <w:rFonts w:ascii="Kohinoor Devanagari" w:hAnsi="Kohinoor Devanagari" w:cs="Kohinoor Devanagari"/>
          <w:sz w:val="20"/>
          <w:szCs w:val="20"/>
          <w:lang w:eastAsia="fr-FR"/>
        </w:rPr>
        <w:t>%) clarifiant les responsabilit</w:t>
      </w:r>
      <w:r w:rsidRPr="00DC2EDA">
        <w:rPr>
          <w:rFonts w:ascii="Mangal" w:hAnsi="Mangal" w:cs="Mangal"/>
          <w:sz w:val="20"/>
          <w:szCs w:val="20"/>
          <w:lang w:eastAsia="fr-FR"/>
        </w:rPr>
        <w:t>é</w:t>
      </w:r>
      <w:r w:rsidRPr="00DC2EDA">
        <w:rPr>
          <w:rFonts w:ascii="Kohinoor Devanagari" w:hAnsi="Kohinoor Devanagari" w:cs="Kohinoor Devanagari"/>
          <w:sz w:val="20"/>
          <w:szCs w:val="20"/>
          <w:lang w:eastAsia="fr-FR"/>
        </w:rPr>
        <w:t>s et les p</w:t>
      </w:r>
      <w:r w:rsidRPr="00DC2EDA">
        <w:rPr>
          <w:rFonts w:ascii="Mangal" w:hAnsi="Mangal" w:cs="Mangal"/>
          <w:sz w:val="20"/>
          <w:szCs w:val="20"/>
          <w:lang w:eastAsia="fr-FR"/>
        </w:rPr>
        <w:t>é</w:t>
      </w:r>
      <w:r w:rsidRPr="00DC2EDA">
        <w:rPr>
          <w:rFonts w:ascii="Kohinoor Devanagari" w:hAnsi="Kohinoor Devanagari" w:cs="Kohinoor Devanagari"/>
          <w:sz w:val="20"/>
          <w:szCs w:val="20"/>
          <w:lang w:eastAsia="fr-FR"/>
        </w:rPr>
        <w:t>rim</w:t>
      </w:r>
      <w:r w:rsidRPr="00DC2EDA">
        <w:rPr>
          <w:rFonts w:ascii="Mangal" w:hAnsi="Mangal" w:cs="Mangal"/>
          <w:sz w:val="20"/>
          <w:szCs w:val="20"/>
          <w:lang w:eastAsia="fr-FR"/>
        </w:rPr>
        <w:t>è</w:t>
      </w:r>
      <w:r w:rsidRPr="00DC2EDA">
        <w:rPr>
          <w:rFonts w:ascii="Kohinoor Devanagari" w:hAnsi="Kohinoor Devanagari" w:cs="Kohinoor Devanagari"/>
          <w:sz w:val="20"/>
          <w:szCs w:val="20"/>
          <w:lang w:eastAsia="fr-FR"/>
        </w:rPr>
        <w:t>tres de publication.</w:t>
      </w:r>
    </w:p>
    <w:p w14:paraId="4E22696D" w14:textId="77777777" w:rsidR="00DC2EDA" w:rsidRPr="00DC2EDA" w:rsidRDefault="00DC2EDA" w:rsidP="00CB4D41">
      <w:pPr>
        <w:numPr>
          <w:ilvl w:val="0"/>
          <w:numId w:val="147"/>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Faible culture de la transparence</w:t>
      </w:r>
      <w:r w:rsidRPr="00DC2EDA">
        <w:rPr>
          <w:rFonts w:ascii="Kohinoor Devanagari" w:hAnsi="Kohinoor Devanagari" w:cs="Kohinoor Devanagari"/>
          <w:sz w:val="20"/>
          <w:szCs w:val="20"/>
          <w:lang w:eastAsia="fr-FR"/>
        </w:rPr>
        <w:t xml:space="preserve"> et réticences internes à publier certaines données sensibles (43</w:t>
      </w:r>
      <w:r w:rsidRPr="00DC2EDA">
        <w:rPr>
          <w:rFonts w:ascii="Times New Roman" w:hAnsi="Times New Roman" w:cs="Times New Roman"/>
          <w:sz w:val="20"/>
          <w:szCs w:val="20"/>
          <w:lang w:eastAsia="fr-FR"/>
        </w:rPr>
        <w:t> </w:t>
      </w:r>
      <w:r w:rsidRPr="00DC2EDA">
        <w:rPr>
          <w:rFonts w:ascii="Kohinoor Devanagari" w:hAnsi="Kohinoor Devanagari" w:cs="Kohinoor Devanagari"/>
          <w:sz w:val="20"/>
          <w:szCs w:val="20"/>
          <w:lang w:eastAsia="fr-FR"/>
        </w:rPr>
        <w:t>%).</w:t>
      </w:r>
    </w:p>
    <w:p w14:paraId="19334AC6" w14:textId="77777777" w:rsidR="00DC2EDA" w:rsidRPr="00DC2EDA" w:rsidRDefault="00DC2EDA" w:rsidP="00CB4D41">
      <w:pPr>
        <w:numPr>
          <w:ilvl w:val="0"/>
          <w:numId w:val="147"/>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lastRenderedPageBreak/>
        <w:t>Inadéquation des formats actuels</w:t>
      </w:r>
      <w:r w:rsidRPr="00DC2EDA">
        <w:rPr>
          <w:rFonts w:ascii="Kohinoor Devanagari" w:hAnsi="Kohinoor Devanagari" w:cs="Kohinoor Devanagari"/>
          <w:sz w:val="20"/>
          <w:szCs w:val="20"/>
          <w:lang w:eastAsia="fr-FR"/>
        </w:rPr>
        <w:t xml:space="preserve"> aux exigences de l’interopérabilité ou de la réutilisation (PDF, documents scannés, rapports non structurés).</w:t>
      </w:r>
    </w:p>
    <w:p w14:paraId="5FC84F0A"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Analyse</w:t>
      </w:r>
      <w:r w:rsidRPr="00DC2EDA">
        <w:rPr>
          <w:rFonts w:ascii="Kohinoor Devanagari" w:hAnsi="Kohinoor Devanagari" w:cs="Kohinoor Devanagari"/>
          <w:sz w:val="20"/>
          <w:szCs w:val="20"/>
          <w:lang w:eastAsia="fr-FR"/>
        </w:rPr>
        <w:t xml:space="preserve"> : Ces contraintes montrent que la divulgation systématique ne pourra être mise en œuvre de manière durable sans un accompagnement institutionnel fort, incluant formation, budget, et encadrement normatif.</w:t>
      </w:r>
    </w:p>
    <w:p w14:paraId="1D00F7A2" w14:textId="2A5DF6DA" w:rsidR="00DC2EDA" w:rsidRPr="00DC2EDA" w:rsidRDefault="00DC2EDA" w:rsidP="00CB4D41">
      <w:pPr>
        <w:spacing w:before="120" w:after="120" w:line="240" w:lineRule="auto"/>
        <w:rPr>
          <w:rFonts w:ascii="Kohinoor Devanagari" w:hAnsi="Kohinoor Devanagari" w:cs="Kohinoor Devanagari"/>
          <w:b/>
          <w:bCs/>
          <w:sz w:val="20"/>
          <w:szCs w:val="20"/>
          <w:lang w:eastAsia="fr-FR"/>
        </w:rPr>
      </w:pPr>
      <w:r w:rsidRPr="00DC2EDA">
        <w:rPr>
          <w:rFonts w:ascii="Kohinoor Devanagari" w:hAnsi="Kohinoor Devanagari" w:cs="Kohinoor Devanagari"/>
          <w:b/>
          <w:bCs/>
          <w:sz w:val="20"/>
          <w:szCs w:val="20"/>
          <w:lang w:eastAsia="fr-FR"/>
        </w:rPr>
        <w:t xml:space="preserve">(vii) Attentes exprimées par les </w:t>
      </w:r>
      <w:r w:rsidR="003B207B" w:rsidRPr="00CB4D41">
        <w:rPr>
          <w:rFonts w:ascii="Kohinoor Devanagari" w:hAnsi="Kohinoor Devanagari" w:cs="Kohinoor Devanagari"/>
          <w:b/>
          <w:bCs/>
          <w:sz w:val="20"/>
          <w:szCs w:val="20"/>
          <w:lang w:eastAsia="fr-FR"/>
        </w:rPr>
        <w:t>fournisseurs de données</w:t>
      </w:r>
    </w:p>
    <w:p w14:paraId="4928C789" w14:textId="77777777" w:rsidR="00DC2EDA" w:rsidRPr="00DC2EDA" w:rsidRDefault="00DC2EDA" w:rsidP="00CB4D41">
      <w:p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sz w:val="20"/>
          <w:szCs w:val="20"/>
          <w:lang w:eastAsia="fr-FR"/>
        </w:rPr>
        <w:t>Les attentes convergent autour de trois leviers prioritaires :</w:t>
      </w:r>
    </w:p>
    <w:p w14:paraId="3C7BA9C3" w14:textId="77777777" w:rsidR="00DC2EDA" w:rsidRPr="00DC2EDA" w:rsidRDefault="00DC2EDA" w:rsidP="00CB4D41">
      <w:pPr>
        <w:numPr>
          <w:ilvl w:val="0"/>
          <w:numId w:val="148"/>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Appui à la digitalisation</w:t>
      </w:r>
      <w:r w:rsidRPr="00DC2EDA">
        <w:rPr>
          <w:rFonts w:ascii="Kohinoor Devanagari" w:hAnsi="Kohinoor Devanagari" w:cs="Kohinoor Devanagari"/>
          <w:sz w:val="20"/>
          <w:szCs w:val="20"/>
          <w:lang w:eastAsia="fr-FR"/>
        </w:rPr>
        <w:t xml:space="preserve"> des données via des systèmes d’information sectoriels, interopérables et connectés au portail ITIE.</w:t>
      </w:r>
    </w:p>
    <w:p w14:paraId="6F2C7341" w14:textId="77777777" w:rsidR="00DC2EDA" w:rsidRPr="00DC2EDA" w:rsidRDefault="00DC2EDA" w:rsidP="00CB4D41">
      <w:pPr>
        <w:numPr>
          <w:ilvl w:val="0"/>
          <w:numId w:val="148"/>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Renforcement des capacités</w:t>
      </w:r>
      <w:r w:rsidRPr="00DC2EDA">
        <w:rPr>
          <w:rFonts w:ascii="Kohinoor Devanagari" w:hAnsi="Kohinoor Devanagari" w:cs="Kohinoor Devanagari"/>
          <w:sz w:val="20"/>
          <w:szCs w:val="20"/>
          <w:lang w:eastAsia="fr-FR"/>
        </w:rPr>
        <w:t xml:space="preserve"> techniques sur les formats ouverts, la gestion de base de données, et la publication en ligne.</w:t>
      </w:r>
    </w:p>
    <w:p w14:paraId="174E8784" w14:textId="77777777" w:rsidR="00DC2EDA" w:rsidRPr="00DC2EDA" w:rsidRDefault="00DC2EDA" w:rsidP="00CB4D41">
      <w:pPr>
        <w:numPr>
          <w:ilvl w:val="0"/>
          <w:numId w:val="148"/>
        </w:numPr>
        <w:spacing w:before="120" w:after="120" w:line="240" w:lineRule="auto"/>
        <w:rPr>
          <w:rFonts w:ascii="Kohinoor Devanagari" w:hAnsi="Kohinoor Devanagari" w:cs="Kohinoor Devanagari"/>
          <w:sz w:val="20"/>
          <w:szCs w:val="20"/>
          <w:lang w:eastAsia="fr-FR"/>
        </w:rPr>
      </w:pPr>
      <w:r w:rsidRPr="00DC2EDA">
        <w:rPr>
          <w:rFonts w:ascii="Kohinoor Devanagari" w:hAnsi="Kohinoor Devanagari" w:cs="Kohinoor Devanagari"/>
          <w:b/>
          <w:bCs/>
          <w:sz w:val="20"/>
          <w:szCs w:val="20"/>
          <w:lang w:eastAsia="fr-FR"/>
        </w:rPr>
        <w:t>Institutionnalisation de la transparence</w:t>
      </w:r>
      <w:r w:rsidRPr="00DC2EDA">
        <w:rPr>
          <w:rFonts w:ascii="Kohinoor Devanagari" w:hAnsi="Kohinoor Devanagari" w:cs="Kohinoor Devanagari"/>
          <w:sz w:val="20"/>
          <w:szCs w:val="20"/>
          <w:lang w:eastAsia="fr-FR"/>
        </w:rPr>
        <w:t xml:space="preserve"> via des textes formels, la désignation de points focaux stables, et l’intégration de la redevabilité dans les pratiques métiers.</w:t>
      </w:r>
    </w:p>
    <w:p w14:paraId="531A2944" w14:textId="77777777" w:rsidR="00646AE9" w:rsidRPr="00646AE9" w:rsidRDefault="00646AE9" w:rsidP="00CB4D41">
      <w:pPr>
        <w:spacing w:before="120" w:after="120" w:line="240" w:lineRule="auto"/>
        <w:rPr>
          <w:rFonts w:ascii="Kohinoor Devanagari" w:hAnsi="Kohinoor Devanagari" w:cs="Kohinoor Devanagari"/>
          <w:b/>
          <w:bCs/>
          <w:sz w:val="20"/>
          <w:szCs w:val="20"/>
          <w:lang w:eastAsia="fr-FR"/>
        </w:rPr>
      </w:pPr>
      <w:r w:rsidRPr="00646AE9">
        <w:rPr>
          <w:rFonts w:ascii="Kohinoor Devanagari" w:hAnsi="Kohinoor Devanagari" w:cs="Kohinoor Devanagari"/>
          <w:b/>
          <w:bCs/>
          <w:sz w:val="20"/>
          <w:szCs w:val="20"/>
          <w:lang w:eastAsia="fr-FR"/>
        </w:rPr>
        <w:t>(ix) Analyse récapitulative : défis persistants et attentes prioritaires</w:t>
      </w:r>
    </w:p>
    <w:p w14:paraId="2DADF264" w14:textId="77777777" w:rsidR="00646AE9" w:rsidRPr="00646AE9" w:rsidRDefault="00646AE9" w:rsidP="00CB4D41">
      <w:p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sz w:val="20"/>
          <w:szCs w:val="20"/>
          <w:lang w:eastAsia="fr-FR"/>
        </w:rPr>
        <w:t xml:space="preserve">L’analyse des réponses des producteurs de données met en lumière des </w:t>
      </w:r>
      <w:r w:rsidRPr="00646AE9">
        <w:rPr>
          <w:rFonts w:ascii="Kohinoor Devanagari" w:hAnsi="Kohinoor Devanagari" w:cs="Kohinoor Devanagari"/>
          <w:b/>
          <w:bCs/>
          <w:sz w:val="20"/>
          <w:szCs w:val="20"/>
          <w:lang w:eastAsia="fr-FR"/>
        </w:rPr>
        <w:t>goulots d’étranglement structurels</w:t>
      </w:r>
      <w:r w:rsidRPr="00646AE9">
        <w:rPr>
          <w:rFonts w:ascii="Kohinoor Devanagari" w:hAnsi="Kohinoor Devanagari" w:cs="Kohinoor Devanagari"/>
          <w:sz w:val="20"/>
          <w:szCs w:val="20"/>
          <w:lang w:eastAsia="fr-FR"/>
        </w:rPr>
        <w:t xml:space="preserve"> et des </w:t>
      </w:r>
      <w:r w:rsidRPr="00646AE9">
        <w:rPr>
          <w:rFonts w:ascii="Kohinoor Devanagari" w:hAnsi="Kohinoor Devanagari" w:cs="Kohinoor Devanagari"/>
          <w:b/>
          <w:bCs/>
          <w:sz w:val="20"/>
          <w:szCs w:val="20"/>
          <w:lang w:eastAsia="fr-FR"/>
        </w:rPr>
        <w:t>attentes fortes</w:t>
      </w:r>
      <w:r w:rsidRPr="00646AE9">
        <w:rPr>
          <w:rFonts w:ascii="Kohinoor Devanagari" w:hAnsi="Kohinoor Devanagari" w:cs="Kohinoor Devanagari"/>
          <w:sz w:val="20"/>
          <w:szCs w:val="20"/>
          <w:lang w:eastAsia="fr-FR"/>
        </w:rPr>
        <w:t xml:space="preserve"> en matière d’intégration des données ITIE dans les systèmes gouvernementaux. Ces éléments sont résumés comme suit :</w:t>
      </w:r>
    </w:p>
    <w:p w14:paraId="0538B442" w14:textId="77777777" w:rsidR="00646AE9" w:rsidRPr="00646AE9" w:rsidRDefault="00646AE9" w:rsidP="00CB4D41">
      <w:pPr>
        <w:spacing w:before="120" w:after="120" w:line="240" w:lineRule="auto"/>
        <w:jc w:val="both"/>
        <w:rPr>
          <w:rFonts w:ascii="Kohinoor Devanagari" w:hAnsi="Kohinoor Devanagari" w:cs="Kohinoor Devanagari"/>
          <w:b/>
          <w:bCs/>
          <w:sz w:val="20"/>
          <w:szCs w:val="20"/>
          <w:lang w:eastAsia="fr-FR"/>
        </w:rPr>
      </w:pPr>
      <w:r w:rsidRPr="00646AE9">
        <w:rPr>
          <w:rFonts w:ascii="Segoe UI Symbol" w:hAnsi="Segoe UI Symbol" w:cs="Segoe UI Symbol"/>
          <w:b/>
          <w:bCs/>
          <w:sz w:val="20"/>
          <w:szCs w:val="20"/>
          <w:lang w:eastAsia="fr-FR"/>
        </w:rPr>
        <w:t>❖</w:t>
      </w:r>
      <w:r w:rsidRPr="00646AE9">
        <w:rPr>
          <w:rFonts w:ascii="Kohinoor Devanagari" w:hAnsi="Kohinoor Devanagari" w:cs="Kohinoor Devanagari"/>
          <w:b/>
          <w:bCs/>
          <w:sz w:val="20"/>
          <w:szCs w:val="20"/>
          <w:lang w:eastAsia="fr-FR"/>
        </w:rPr>
        <w:t xml:space="preserve"> Défis persistants dans la production et la divulgation des données ITIE</w:t>
      </w:r>
    </w:p>
    <w:p w14:paraId="6B67F7DA" w14:textId="77777777" w:rsidR="00646AE9" w:rsidRPr="00646AE9" w:rsidRDefault="00646AE9"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Absence de cadre normatif formel</w:t>
      </w:r>
      <w:r w:rsidRPr="00646AE9">
        <w:rPr>
          <w:rFonts w:ascii="Kohinoor Devanagari" w:hAnsi="Kohinoor Devanagari" w:cs="Kohinoor Devanagari"/>
          <w:sz w:val="20"/>
          <w:szCs w:val="20"/>
          <w:lang w:eastAsia="fr-FR"/>
        </w:rPr>
        <w:t xml:space="preserve"> : La quasi-totalité des producteurs opèrent sans politique écrite ou directive encadrant la publication des données, ce qui limite la prévisibilité, la régularité et la qualité des divulgations.</w:t>
      </w:r>
    </w:p>
    <w:p w14:paraId="0E9C6906" w14:textId="77777777" w:rsidR="00646AE9" w:rsidRPr="00646AE9" w:rsidRDefault="00646AE9"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Organisation institutionnelle peu structurée</w:t>
      </w:r>
      <w:r w:rsidRPr="00646AE9">
        <w:rPr>
          <w:rFonts w:ascii="Kohinoor Devanagari" w:hAnsi="Kohinoor Devanagari" w:cs="Kohinoor Devanagari"/>
          <w:sz w:val="20"/>
          <w:szCs w:val="20"/>
          <w:lang w:eastAsia="fr-FR"/>
        </w:rPr>
        <w:t xml:space="preserve"> : Dans la majorité des entités, la production des données ITIE repose sur des agents non spécialisés, sans cellule dédiée, ni mécanisme de coordination interne.</w:t>
      </w:r>
    </w:p>
    <w:p w14:paraId="2175C45A" w14:textId="77777777" w:rsidR="00646AE9" w:rsidRPr="00646AE9" w:rsidRDefault="00646AE9"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Fragmentation et formats inadéquats</w:t>
      </w:r>
      <w:r w:rsidRPr="00646AE9">
        <w:rPr>
          <w:rFonts w:ascii="Kohinoor Devanagari" w:hAnsi="Kohinoor Devanagari" w:cs="Kohinoor Devanagari"/>
          <w:sz w:val="20"/>
          <w:szCs w:val="20"/>
          <w:lang w:eastAsia="fr-FR"/>
        </w:rPr>
        <w:t xml:space="preserve"> : Les données sont souvent stockées sur des fichiers Excel ou Word isolés, sans structuration selon des formats interopérables ou standards ouverts, ce qui complique leur traitement automatisé.</w:t>
      </w:r>
    </w:p>
    <w:p w14:paraId="798D044A" w14:textId="77777777" w:rsidR="00646AE9" w:rsidRPr="00CB4D41" w:rsidRDefault="00646AE9"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Réticences internes à la transparence</w:t>
      </w:r>
      <w:r w:rsidRPr="00646AE9">
        <w:rPr>
          <w:rFonts w:ascii="Kohinoor Devanagari" w:hAnsi="Kohinoor Devanagari" w:cs="Kohinoor Devanagari"/>
          <w:sz w:val="20"/>
          <w:szCs w:val="20"/>
          <w:lang w:eastAsia="fr-FR"/>
        </w:rPr>
        <w:t xml:space="preserve"> : Certaines entités soulignent des blocages liés à la sensibilité perçue des données (notamment fiscales ou financières), aggravés par l’absence de directives claires ou d’instruction hiérarchique.</w:t>
      </w:r>
    </w:p>
    <w:p w14:paraId="494F6895" w14:textId="4946CC02" w:rsidR="00971D35" w:rsidRPr="00971D35" w:rsidRDefault="00ED5FE5" w:rsidP="00CB4D41">
      <w:pPr>
        <w:spacing w:before="120" w:after="120" w:line="240" w:lineRule="auto"/>
        <w:jc w:val="both"/>
        <w:rPr>
          <w:rFonts w:ascii="Kohinoor Devanagari" w:hAnsi="Kohinoor Devanagari" w:cs="Kohinoor Devanagari"/>
          <w:b/>
          <w:bCs/>
          <w:sz w:val="20"/>
          <w:szCs w:val="20"/>
          <w:lang w:eastAsia="fr-FR"/>
        </w:rPr>
      </w:pPr>
      <w:r w:rsidRPr="00646AE9">
        <w:rPr>
          <w:rFonts w:ascii="Segoe UI Symbol" w:hAnsi="Segoe UI Symbol" w:cs="Segoe UI Symbol"/>
          <w:b/>
          <w:bCs/>
          <w:sz w:val="20"/>
          <w:szCs w:val="20"/>
          <w:lang w:eastAsia="fr-FR"/>
        </w:rPr>
        <w:t>❖</w:t>
      </w:r>
      <w:r w:rsidR="00971D35" w:rsidRPr="00971D35">
        <w:rPr>
          <w:rFonts w:ascii="Kohinoor Devanagari" w:hAnsi="Kohinoor Devanagari" w:cs="Kohinoor Devanagari"/>
          <w:b/>
          <w:bCs/>
          <w:sz w:val="20"/>
          <w:szCs w:val="20"/>
          <w:lang w:eastAsia="fr-FR"/>
        </w:rPr>
        <w:t xml:space="preserve">Opportunités </w:t>
      </w:r>
    </w:p>
    <w:p w14:paraId="066BF154" w14:textId="77777777" w:rsidR="00971D35" w:rsidRPr="00971D35" w:rsidRDefault="00971D35" w:rsidP="00CB4D41">
      <w:pPr>
        <w:spacing w:before="120" w:after="120" w:line="240" w:lineRule="auto"/>
        <w:jc w:val="both"/>
        <w:rPr>
          <w:rFonts w:ascii="Kohinoor Devanagari" w:hAnsi="Kohinoor Devanagari" w:cs="Kohinoor Devanagari"/>
          <w:b/>
          <w:bCs/>
          <w:sz w:val="20"/>
          <w:szCs w:val="20"/>
          <w:lang w:eastAsia="fr-FR"/>
        </w:rPr>
      </w:pPr>
      <w:r w:rsidRPr="00971D35">
        <w:rPr>
          <w:rFonts w:ascii="Kohinoor Devanagari" w:hAnsi="Kohinoor Devanagari" w:cs="Kohinoor Devanagari"/>
          <w:b/>
          <w:bCs/>
          <w:sz w:val="20"/>
          <w:szCs w:val="20"/>
          <w:lang w:eastAsia="fr-FR"/>
        </w:rPr>
        <w:t>Au-delà des contraintes, les réponses au questionnaire révèlent plusieurs opportunités concrètes pouvant être mobilisées pour soutenir la transition vers la divulgation systématique des données ITIE au Cameroun :</w:t>
      </w:r>
    </w:p>
    <w:p w14:paraId="3C2B1F5F" w14:textId="3CF3E90B" w:rsidR="00971D35" w:rsidRPr="00971D35" w:rsidRDefault="00971D35"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971D35">
        <w:rPr>
          <w:rFonts w:ascii="Kohinoor Devanagari" w:hAnsi="Kohinoor Devanagari" w:cs="Kohinoor Devanagari"/>
          <w:b/>
          <w:bCs/>
          <w:sz w:val="20"/>
          <w:szCs w:val="20"/>
          <w:lang w:eastAsia="fr-FR"/>
        </w:rPr>
        <w:lastRenderedPageBreak/>
        <w:t>Existence de données disponibles mais non publiées</w:t>
      </w:r>
      <w:r w:rsidR="00ED5FE5" w:rsidRPr="00CB4D41">
        <w:rPr>
          <w:rFonts w:ascii="Kohinoor Devanagari" w:hAnsi="Kohinoor Devanagari" w:cs="Kohinoor Devanagari"/>
          <w:b/>
          <w:bCs/>
          <w:sz w:val="20"/>
          <w:szCs w:val="20"/>
          <w:lang w:eastAsia="fr-FR"/>
        </w:rPr>
        <w:t xml:space="preserve"> : </w:t>
      </w:r>
      <w:r w:rsidRPr="00971D35">
        <w:rPr>
          <w:rFonts w:ascii="Kohinoor Devanagari" w:hAnsi="Kohinoor Devanagari" w:cs="Kohinoor Devanagari"/>
          <w:sz w:val="20"/>
          <w:szCs w:val="20"/>
          <w:lang w:eastAsia="fr-FR"/>
        </w:rPr>
        <w:t>Plusieurs entités disposent déjà en interne de données collectées régulièrement (production, fiscalité, contrats, environnement, etc.), bien qu’elles ne soient pas encore structurées pour publication. Cela constitue une base solide pour initier un processus de systématisation à court terme.</w:t>
      </w:r>
    </w:p>
    <w:p w14:paraId="2E7D9D29" w14:textId="3B2F06F7" w:rsidR="00971D35" w:rsidRPr="00971D35" w:rsidRDefault="00971D35"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971D35">
        <w:rPr>
          <w:rFonts w:ascii="Kohinoor Devanagari" w:hAnsi="Kohinoor Devanagari" w:cs="Kohinoor Devanagari"/>
          <w:b/>
          <w:bCs/>
          <w:sz w:val="20"/>
          <w:szCs w:val="20"/>
          <w:lang w:eastAsia="fr-FR"/>
        </w:rPr>
        <w:t>Expériences pilotes et outils déjà en place</w:t>
      </w:r>
      <w:r w:rsidR="00ED5FE5" w:rsidRPr="00CB4D41">
        <w:rPr>
          <w:rFonts w:ascii="Kohinoor Devanagari" w:hAnsi="Kohinoor Devanagari" w:cs="Kohinoor Devanagari"/>
          <w:b/>
          <w:bCs/>
          <w:sz w:val="20"/>
          <w:szCs w:val="20"/>
          <w:lang w:eastAsia="fr-FR"/>
        </w:rPr>
        <w:t xml:space="preserve"> : </w:t>
      </w:r>
      <w:r w:rsidRPr="00971D35">
        <w:rPr>
          <w:rFonts w:ascii="Kohinoor Devanagari" w:hAnsi="Kohinoor Devanagari" w:cs="Kohinoor Devanagari"/>
          <w:sz w:val="20"/>
          <w:szCs w:val="20"/>
          <w:lang w:eastAsia="fr-FR"/>
        </w:rPr>
        <w:t>Certaines administrations (ex. cadastre minier, DGI, MINEPDED) ont déjà initié des systèmes numériques sectoriels, parfois appuyés par des partenaires techniques (AFD, GIZ, BM), qui peuvent être consolidés ou interconnectés avec la plateforme ITIE.</w:t>
      </w:r>
    </w:p>
    <w:p w14:paraId="22555418" w14:textId="5F171D46" w:rsidR="00971D35" w:rsidRPr="00971D35" w:rsidRDefault="00971D35"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971D35">
        <w:rPr>
          <w:rFonts w:ascii="Kohinoor Devanagari" w:hAnsi="Kohinoor Devanagari" w:cs="Kohinoor Devanagari"/>
          <w:b/>
          <w:bCs/>
          <w:sz w:val="20"/>
          <w:szCs w:val="20"/>
          <w:lang w:eastAsia="fr-FR"/>
        </w:rPr>
        <w:t>Bonne volonté des acteurs technique</w:t>
      </w:r>
      <w:r w:rsidR="00ED5FE5" w:rsidRPr="00CB4D41">
        <w:rPr>
          <w:rFonts w:ascii="Kohinoor Devanagari" w:hAnsi="Kohinoor Devanagari" w:cs="Kohinoor Devanagari"/>
          <w:b/>
          <w:bCs/>
          <w:sz w:val="20"/>
          <w:szCs w:val="20"/>
          <w:lang w:eastAsia="fr-FR"/>
        </w:rPr>
        <w:t xml:space="preserve">s : </w:t>
      </w:r>
      <w:r w:rsidRPr="00971D35">
        <w:rPr>
          <w:rFonts w:ascii="Kohinoor Devanagari" w:hAnsi="Kohinoor Devanagari" w:cs="Kohinoor Devanagari"/>
          <w:sz w:val="20"/>
          <w:szCs w:val="20"/>
          <w:lang w:eastAsia="fr-FR"/>
        </w:rPr>
        <w:t>Les répondants témoignent d’une motivation réelle à améliorer la qualité des données, dès lors qu’ils sont accompagnés (renforcement des capacités, directives claires, encadrement hiérarchique). Le levier humain est donc mobilisable rapidement.</w:t>
      </w:r>
    </w:p>
    <w:p w14:paraId="7C9850D5" w14:textId="711990DC" w:rsidR="00971D35" w:rsidRPr="00971D35" w:rsidRDefault="00971D35"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971D35">
        <w:rPr>
          <w:rFonts w:ascii="Kohinoor Devanagari" w:hAnsi="Kohinoor Devanagari" w:cs="Kohinoor Devanagari"/>
          <w:b/>
          <w:bCs/>
          <w:sz w:val="20"/>
          <w:szCs w:val="20"/>
          <w:lang w:eastAsia="fr-FR"/>
        </w:rPr>
        <w:t>Appuis potentiels des partenaires au développement</w:t>
      </w:r>
      <w:r w:rsidR="00100E06" w:rsidRPr="00CB4D41">
        <w:rPr>
          <w:rFonts w:ascii="Kohinoor Devanagari" w:hAnsi="Kohinoor Devanagari" w:cs="Kohinoor Devanagari"/>
          <w:b/>
          <w:bCs/>
          <w:sz w:val="20"/>
          <w:szCs w:val="20"/>
          <w:lang w:eastAsia="fr-FR"/>
        </w:rPr>
        <w:t xml:space="preserve"> : </w:t>
      </w:r>
      <w:r w:rsidRPr="00971D35">
        <w:rPr>
          <w:rFonts w:ascii="Kohinoor Devanagari" w:hAnsi="Kohinoor Devanagari" w:cs="Kohinoor Devanagari"/>
          <w:sz w:val="20"/>
          <w:szCs w:val="20"/>
          <w:lang w:eastAsia="fr-FR"/>
        </w:rPr>
        <w:t>La transition vers la divulgation systématique s’inscrit dans plusieurs programmes de gouvernance numérique, de réforme des finances publiques ou de développement durable déjà en cours, ouvrant la voie à une synergie budgétaire et technique.</w:t>
      </w:r>
    </w:p>
    <w:p w14:paraId="1945B42D" w14:textId="1AD969FE" w:rsidR="00971D35" w:rsidRPr="00971D35" w:rsidRDefault="00971D35"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971D35">
        <w:rPr>
          <w:rFonts w:ascii="Kohinoor Devanagari" w:hAnsi="Kohinoor Devanagari" w:cs="Kohinoor Devanagari"/>
          <w:b/>
          <w:bCs/>
          <w:sz w:val="20"/>
          <w:szCs w:val="20"/>
          <w:lang w:eastAsia="fr-FR"/>
        </w:rPr>
        <w:t xml:space="preserve"> Demande croissante des utilisateurs</w:t>
      </w:r>
      <w:r w:rsidR="00100E06" w:rsidRPr="00CB4D41">
        <w:rPr>
          <w:rFonts w:ascii="Kohinoor Devanagari" w:hAnsi="Kohinoor Devanagari" w:cs="Kohinoor Devanagari"/>
          <w:b/>
          <w:bCs/>
          <w:sz w:val="20"/>
          <w:szCs w:val="20"/>
          <w:lang w:eastAsia="fr-FR"/>
        </w:rPr>
        <w:t xml:space="preserve"> : </w:t>
      </w:r>
      <w:r w:rsidRPr="00971D35">
        <w:rPr>
          <w:rFonts w:ascii="Kohinoor Devanagari" w:hAnsi="Kohinoor Devanagari" w:cs="Kohinoor Devanagari"/>
          <w:sz w:val="20"/>
          <w:szCs w:val="20"/>
          <w:lang w:eastAsia="fr-FR"/>
        </w:rPr>
        <w:t>La pression exercée par les utilisateurs pour des données plus accessibles, fiables et interopérables crée un environnement incitatif. Répondre à ces attentes contribuerait à renforcer la légitimité des entités productrices et leur position institutionnelle.</w:t>
      </w:r>
    </w:p>
    <w:p w14:paraId="02F1F5B8" w14:textId="0A7A5BC6" w:rsidR="00971D35" w:rsidRPr="00646AE9" w:rsidRDefault="00971D35" w:rsidP="00CB4D41">
      <w:pPr>
        <w:numPr>
          <w:ilvl w:val="0"/>
          <w:numId w:val="150"/>
        </w:numPr>
        <w:spacing w:before="120" w:after="120" w:line="240" w:lineRule="auto"/>
        <w:jc w:val="both"/>
        <w:rPr>
          <w:rFonts w:ascii="Kohinoor Devanagari" w:hAnsi="Kohinoor Devanagari" w:cs="Kohinoor Devanagari"/>
          <w:sz w:val="20"/>
          <w:szCs w:val="20"/>
          <w:lang w:eastAsia="fr-FR"/>
        </w:rPr>
      </w:pPr>
      <w:r w:rsidRPr="00971D35">
        <w:rPr>
          <w:rFonts w:ascii="Kohinoor Devanagari" w:hAnsi="Kohinoor Devanagari" w:cs="Kohinoor Devanagari"/>
          <w:b/>
          <w:bCs/>
          <w:sz w:val="20"/>
          <w:szCs w:val="20"/>
          <w:lang w:eastAsia="fr-FR"/>
        </w:rPr>
        <w:t>Possibilité de normaliser les formats et procédures</w:t>
      </w:r>
      <w:r w:rsidR="00100E06" w:rsidRPr="00CB4D41">
        <w:rPr>
          <w:rFonts w:ascii="Kohinoor Devanagari" w:hAnsi="Kohinoor Devanagari" w:cs="Kohinoor Devanagari"/>
          <w:b/>
          <w:bCs/>
          <w:sz w:val="20"/>
          <w:szCs w:val="20"/>
          <w:lang w:eastAsia="fr-FR"/>
        </w:rPr>
        <w:t xml:space="preserve"> : </w:t>
      </w:r>
      <w:r w:rsidRPr="00971D35">
        <w:rPr>
          <w:rFonts w:ascii="Kohinoor Devanagari" w:hAnsi="Kohinoor Devanagari" w:cs="Kohinoor Devanagari"/>
          <w:sz w:val="20"/>
          <w:szCs w:val="20"/>
          <w:lang w:eastAsia="fr-FR"/>
        </w:rPr>
        <w:t>L’élaboration de gabarits standards de données (formats Excel ou CSV, protocoles d’alimentation), couplés à des guides pratiques pour chaque administration, pourrait permettre une montée en charge progressive sans refonte complète des systèmes.</w:t>
      </w:r>
    </w:p>
    <w:p w14:paraId="31EA7DE6" w14:textId="77777777" w:rsidR="00646AE9" w:rsidRPr="00646AE9" w:rsidRDefault="00646AE9" w:rsidP="00CB4D41">
      <w:pPr>
        <w:spacing w:before="120" w:after="120" w:line="240" w:lineRule="auto"/>
        <w:jc w:val="both"/>
        <w:rPr>
          <w:rFonts w:ascii="Kohinoor Devanagari" w:hAnsi="Kohinoor Devanagari" w:cs="Kohinoor Devanagari"/>
          <w:b/>
          <w:bCs/>
          <w:sz w:val="20"/>
          <w:szCs w:val="20"/>
          <w:lang w:eastAsia="fr-FR"/>
        </w:rPr>
      </w:pPr>
      <w:r w:rsidRPr="00646AE9">
        <w:rPr>
          <w:rFonts w:ascii="Segoe UI Symbol" w:hAnsi="Segoe UI Symbol" w:cs="Segoe UI Symbol"/>
          <w:b/>
          <w:bCs/>
          <w:sz w:val="20"/>
          <w:szCs w:val="20"/>
          <w:lang w:eastAsia="fr-FR"/>
        </w:rPr>
        <w:t>❖</w:t>
      </w:r>
      <w:r w:rsidRPr="00646AE9">
        <w:rPr>
          <w:rFonts w:ascii="Kohinoor Devanagari" w:hAnsi="Kohinoor Devanagari" w:cs="Kohinoor Devanagari"/>
          <w:b/>
          <w:bCs/>
          <w:sz w:val="20"/>
          <w:szCs w:val="20"/>
          <w:lang w:eastAsia="fr-FR"/>
        </w:rPr>
        <w:t xml:space="preserve"> Attentes prioritaires exprimées pour une divulgation systématique</w:t>
      </w:r>
    </w:p>
    <w:p w14:paraId="0BECB381" w14:textId="77777777" w:rsidR="00646AE9" w:rsidRPr="00646AE9" w:rsidRDefault="00646AE9" w:rsidP="00CB4D41">
      <w:pPr>
        <w:numPr>
          <w:ilvl w:val="0"/>
          <w:numId w:val="151"/>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Institutionnalisation claire de la transparence</w:t>
      </w:r>
      <w:r w:rsidRPr="00646AE9">
        <w:rPr>
          <w:rFonts w:ascii="Kohinoor Devanagari" w:hAnsi="Kohinoor Devanagari" w:cs="Kohinoor Devanagari"/>
          <w:sz w:val="20"/>
          <w:szCs w:val="20"/>
          <w:lang w:eastAsia="fr-FR"/>
        </w:rPr>
        <w:t xml:space="preserve"> : Les producteurs demandent l’adoption de textes réglementaires ou administratifs (arrêtés, circulaires, directives internes) définissant les responsabilités, les obligations de publication, et les formats requis.</w:t>
      </w:r>
    </w:p>
    <w:p w14:paraId="12AF1244" w14:textId="77777777" w:rsidR="00646AE9" w:rsidRPr="00646AE9" w:rsidRDefault="00646AE9" w:rsidP="00CB4D41">
      <w:pPr>
        <w:numPr>
          <w:ilvl w:val="0"/>
          <w:numId w:val="151"/>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Désignation formelle de points focaux ITIE</w:t>
      </w:r>
      <w:r w:rsidRPr="00646AE9">
        <w:rPr>
          <w:rFonts w:ascii="Kohinoor Devanagari" w:hAnsi="Kohinoor Devanagari" w:cs="Kohinoor Devanagari"/>
          <w:sz w:val="20"/>
          <w:szCs w:val="20"/>
          <w:lang w:eastAsia="fr-FR"/>
        </w:rPr>
        <w:t xml:space="preserve"> : Les répondants souhaitent un encadrement clair du rôle des agents désignés, avec mandat, formation, et reconnaissance dans l’organigramme administratif.</w:t>
      </w:r>
    </w:p>
    <w:p w14:paraId="615C693B" w14:textId="1412DDD8" w:rsidR="00646AE9" w:rsidRPr="00646AE9" w:rsidRDefault="00646AE9" w:rsidP="00CB4D41">
      <w:pPr>
        <w:numPr>
          <w:ilvl w:val="0"/>
          <w:numId w:val="151"/>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Développement de systèmes d’information sectoriels</w:t>
      </w:r>
      <w:r w:rsidRPr="00646AE9">
        <w:rPr>
          <w:rFonts w:ascii="Kohinoor Devanagari" w:hAnsi="Kohinoor Devanagari" w:cs="Kohinoor Devanagari"/>
          <w:sz w:val="20"/>
          <w:szCs w:val="20"/>
          <w:lang w:eastAsia="fr-FR"/>
        </w:rPr>
        <w:t xml:space="preserve"> : Une majorité d’entités appellent à l’implémentation de logiciels ou plateformes adaptées (bases de données fiscales, registres contractuels), interconnectés avec les portails de l’État et l’ITIE.</w:t>
      </w:r>
    </w:p>
    <w:p w14:paraId="313DF4EB" w14:textId="77777777" w:rsidR="00646AE9" w:rsidRPr="00646AE9" w:rsidRDefault="00646AE9" w:rsidP="00CB4D41">
      <w:pPr>
        <w:numPr>
          <w:ilvl w:val="0"/>
          <w:numId w:val="151"/>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t>Appui technique ciblé</w:t>
      </w:r>
      <w:r w:rsidRPr="00646AE9">
        <w:rPr>
          <w:rFonts w:ascii="Kohinoor Devanagari" w:hAnsi="Kohinoor Devanagari" w:cs="Kohinoor Devanagari"/>
          <w:sz w:val="20"/>
          <w:szCs w:val="20"/>
          <w:lang w:eastAsia="fr-FR"/>
        </w:rPr>
        <w:t xml:space="preserve"> : Les producteurs expriment un besoin de formation pratique sur les formats ouverts (CSV, JSON), la gestion des bases de données, la production de tableaux de bord, et les API.</w:t>
      </w:r>
    </w:p>
    <w:p w14:paraId="30E9B835" w14:textId="77777777" w:rsidR="00646AE9" w:rsidRPr="00646AE9" w:rsidRDefault="00646AE9" w:rsidP="00CB4D41">
      <w:pPr>
        <w:numPr>
          <w:ilvl w:val="0"/>
          <w:numId w:val="151"/>
        </w:num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b/>
          <w:bCs/>
          <w:sz w:val="20"/>
          <w:szCs w:val="20"/>
          <w:lang w:eastAsia="fr-FR"/>
        </w:rPr>
        <w:lastRenderedPageBreak/>
        <w:t>Renforcement de l’interaction avec le STP-ITIE</w:t>
      </w:r>
      <w:r w:rsidRPr="00646AE9">
        <w:rPr>
          <w:rFonts w:ascii="Kohinoor Devanagari" w:hAnsi="Kohinoor Devanagari" w:cs="Kohinoor Devanagari"/>
          <w:sz w:val="20"/>
          <w:szCs w:val="20"/>
          <w:lang w:eastAsia="fr-FR"/>
        </w:rPr>
        <w:t xml:space="preserve"> : Plusieurs entités suggèrent un suivi plus structuré, incluant des réunions de validation, des retours d’information, et un accompagnement personnalisé dans la structuration des jeux de données.</w:t>
      </w:r>
    </w:p>
    <w:p w14:paraId="114CA51F" w14:textId="77777777" w:rsidR="00646AE9" w:rsidRPr="00646AE9" w:rsidRDefault="00646AE9" w:rsidP="00CB4D41">
      <w:pPr>
        <w:spacing w:before="120" w:after="120" w:line="240" w:lineRule="auto"/>
        <w:jc w:val="both"/>
        <w:rPr>
          <w:rFonts w:ascii="Kohinoor Devanagari" w:hAnsi="Kohinoor Devanagari" w:cs="Kohinoor Devanagari"/>
          <w:b/>
          <w:bCs/>
          <w:sz w:val="20"/>
          <w:szCs w:val="20"/>
          <w:lang w:eastAsia="fr-FR"/>
        </w:rPr>
      </w:pPr>
      <w:r w:rsidRPr="00646AE9">
        <w:rPr>
          <w:rFonts w:ascii="Kohinoor Devanagari" w:hAnsi="Kohinoor Devanagari" w:cs="Kohinoor Devanagari"/>
          <w:b/>
          <w:bCs/>
          <w:sz w:val="20"/>
          <w:szCs w:val="20"/>
          <w:lang w:eastAsia="fr-FR"/>
        </w:rPr>
        <w:t>Conclusion</w:t>
      </w:r>
    </w:p>
    <w:p w14:paraId="44673DE6" w14:textId="77777777" w:rsidR="00646AE9" w:rsidRPr="00646AE9" w:rsidRDefault="00646AE9" w:rsidP="00CB4D41">
      <w:pPr>
        <w:spacing w:before="120" w:after="120" w:line="240" w:lineRule="auto"/>
        <w:jc w:val="both"/>
        <w:rPr>
          <w:rFonts w:ascii="Kohinoor Devanagari" w:hAnsi="Kohinoor Devanagari" w:cs="Kohinoor Devanagari"/>
          <w:sz w:val="20"/>
          <w:szCs w:val="20"/>
          <w:lang w:eastAsia="fr-FR"/>
        </w:rPr>
      </w:pPr>
      <w:r w:rsidRPr="00646AE9">
        <w:rPr>
          <w:rFonts w:ascii="Kohinoor Devanagari" w:hAnsi="Kohinoor Devanagari" w:cs="Kohinoor Devanagari"/>
          <w:sz w:val="20"/>
          <w:szCs w:val="20"/>
          <w:lang w:eastAsia="fr-FR"/>
        </w:rPr>
        <w:t xml:space="preserve">Les résultats révèlent un </w:t>
      </w:r>
      <w:r w:rsidRPr="00646AE9">
        <w:rPr>
          <w:rFonts w:ascii="Kohinoor Devanagari" w:hAnsi="Kohinoor Devanagari" w:cs="Kohinoor Devanagari"/>
          <w:b/>
          <w:bCs/>
          <w:sz w:val="20"/>
          <w:szCs w:val="20"/>
          <w:lang w:eastAsia="fr-FR"/>
        </w:rPr>
        <w:t>écart significatif entre les exigences de divulgation systématique</w:t>
      </w:r>
      <w:r w:rsidRPr="00646AE9">
        <w:rPr>
          <w:rFonts w:ascii="Kohinoor Devanagari" w:hAnsi="Kohinoor Devanagari" w:cs="Kohinoor Devanagari"/>
          <w:sz w:val="20"/>
          <w:szCs w:val="20"/>
          <w:lang w:eastAsia="fr-FR"/>
        </w:rPr>
        <w:t xml:space="preserve"> et les pratiques actuelles des producteurs de données au Cameroun. Si la volonté d’avancer est manifeste, la concrétisation requiert des appuis multiformes : </w:t>
      </w:r>
      <w:r w:rsidRPr="00646AE9">
        <w:rPr>
          <w:rFonts w:ascii="Kohinoor Devanagari" w:hAnsi="Kohinoor Devanagari" w:cs="Kohinoor Devanagari"/>
          <w:b/>
          <w:bCs/>
          <w:sz w:val="20"/>
          <w:szCs w:val="20"/>
          <w:lang w:eastAsia="fr-FR"/>
        </w:rPr>
        <w:t>juridiques, techniques, organisationnels et financiers</w:t>
      </w:r>
      <w:r w:rsidRPr="00646AE9">
        <w:rPr>
          <w:rFonts w:ascii="Kohinoor Devanagari" w:hAnsi="Kohinoor Devanagari" w:cs="Kohinoor Devanagari"/>
          <w:sz w:val="20"/>
          <w:szCs w:val="20"/>
          <w:lang w:eastAsia="fr-FR"/>
        </w:rPr>
        <w:t>. La réussite de cette transition passe par une dynamique interinstitutionnelle coordonnée, pilotée au plus haut niveau, et soutenue par un investissement dans les infrastructures numériques et les compétences humaines.</w:t>
      </w:r>
    </w:p>
    <w:p w14:paraId="5E267CCE" w14:textId="77777777" w:rsidR="004E16A7" w:rsidRPr="00ED1101" w:rsidRDefault="004E16A7" w:rsidP="00CB4D41">
      <w:pPr>
        <w:pStyle w:val="Titre2"/>
        <w:numPr>
          <w:ilvl w:val="1"/>
          <w:numId w:val="8"/>
        </w:numPr>
        <w:shd w:val="clear" w:color="auto" w:fill="FFFFFF" w:themeFill="background1"/>
        <w:spacing w:before="120" w:after="120" w:line="240" w:lineRule="auto"/>
        <w:jc w:val="both"/>
        <w:rPr>
          <w:rFonts w:ascii="Kohinoor Devanagari" w:eastAsia="Times New Roman" w:hAnsi="Kohinoor Devanagari" w:cs="Kohinoor Devanagari"/>
          <w:b/>
          <w:bCs/>
          <w:color w:val="000000" w:themeColor="text1"/>
          <w:sz w:val="20"/>
          <w:szCs w:val="20"/>
          <w:lang w:eastAsia="fr-FR"/>
        </w:rPr>
      </w:pPr>
      <w:bookmarkStart w:id="34" w:name="_Toc204691621"/>
      <w:r w:rsidRPr="00ED1101">
        <w:rPr>
          <w:rFonts w:ascii="Kohinoor Devanagari" w:eastAsia="Times New Roman" w:hAnsi="Kohinoor Devanagari" w:cs="Kohinoor Devanagari"/>
          <w:b/>
          <w:bCs/>
          <w:color w:val="000000" w:themeColor="text1"/>
          <w:sz w:val="20"/>
          <w:szCs w:val="20"/>
          <w:lang w:eastAsia="fr-FR"/>
        </w:rPr>
        <w:t>Analyse des perceptions et attentes des utilisateurs de données ITIE</w:t>
      </w:r>
      <w:bookmarkEnd w:id="34"/>
    </w:p>
    <w:p w14:paraId="058ECB92" w14:textId="77777777" w:rsidR="004E16A7" w:rsidRPr="00ED1101" w:rsidRDefault="004E16A7" w:rsidP="00CB4D41">
      <w:pPr>
        <w:spacing w:before="120" w:after="120" w:line="240" w:lineRule="auto"/>
        <w:jc w:val="both"/>
        <w:rPr>
          <w:rFonts w:ascii="Kohinoor Devanagari" w:hAnsi="Kohinoor Devanagari" w:cs="Kohinoor Devanagari"/>
          <w:sz w:val="20"/>
          <w:szCs w:val="20"/>
          <w:lang w:eastAsia="fr-FR"/>
        </w:rPr>
      </w:pPr>
      <w:r w:rsidRPr="00ED1101">
        <w:rPr>
          <w:rFonts w:ascii="Kohinoor Devanagari" w:hAnsi="Kohinoor Devanagari" w:cs="Kohinoor Devanagari"/>
          <w:sz w:val="20"/>
          <w:szCs w:val="20"/>
          <w:lang w:eastAsia="fr-FR"/>
        </w:rPr>
        <w:t>L’analyse ci-dessous synthétise les réponses de 14 utilisateurs de données ITIE ayant participé à l’enquête. Elle met en lumière les obstacles rencontrés, les besoins en renforcement de capacités, les limites perçues de la divulgation actuelle, ainsi que les usages potentiels des données si celles-ci étaient systématiquement intégrées aux systèmes gouvernementaux.</w:t>
      </w:r>
    </w:p>
    <w:p w14:paraId="5224669F" w14:textId="77777777" w:rsidR="004E16A7" w:rsidRPr="00112259" w:rsidRDefault="004E16A7" w:rsidP="00CB4D41">
      <w:pPr>
        <w:spacing w:before="120" w:after="120" w:line="240" w:lineRule="auto"/>
        <w:jc w:val="both"/>
        <w:rPr>
          <w:rFonts w:ascii="Kohinoor Devanagari" w:hAnsi="Kohinoor Devanagari" w:cs="Kohinoor Devanagari"/>
          <w:b/>
          <w:bCs/>
          <w:sz w:val="20"/>
          <w:szCs w:val="20"/>
          <w:lang w:eastAsia="fr-FR"/>
        </w:rPr>
      </w:pPr>
      <w:r w:rsidRPr="00112259">
        <w:rPr>
          <w:rFonts w:ascii="Kohinoor Devanagari" w:hAnsi="Kohinoor Devanagari" w:cs="Kohinoor Devanagari"/>
          <w:b/>
          <w:bCs/>
          <w:sz w:val="20"/>
          <w:szCs w:val="20"/>
          <w:lang w:eastAsia="fr-FR"/>
        </w:rPr>
        <w:t>(i) Obstacles rencontrés dans l’accès et l’utilisation des données</w:t>
      </w:r>
    </w:p>
    <w:p w14:paraId="5981BFA5"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sz w:val="20"/>
          <w:szCs w:val="20"/>
          <w:lang w:eastAsia="fr-FR"/>
        </w:rPr>
        <w:t>Les répondants identifient plusieurs limitations majeures freinant l’utilisation effective des données ITIE :</w:t>
      </w:r>
    </w:p>
    <w:p w14:paraId="61A20DA2" w14:textId="77777777" w:rsidR="004E16A7" w:rsidRPr="00112259" w:rsidRDefault="004E16A7" w:rsidP="00CB4D41">
      <w:pPr>
        <w:numPr>
          <w:ilvl w:val="0"/>
          <w:numId w:val="135"/>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Absence de données</w:t>
      </w:r>
      <w:r w:rsidRPr="00112259">
        <w:rPr>
          <w:rFonts w:ascii="Kohinoor Devanagari" w:hAnsi="Kohinoor Devanagari" w:cs="Kohinoor Devanagari"/>
          <w:sz w:val="20"/>
          <w:szCs w:val="20"/>
          <w:lang w:eastAsia="fr-FR"/>
        </w:rPr>
        <w:t xml:space="preserve"> : 13 répondants (92,9</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estiment que certaines informations essentielles ne sont tout simplement pas disponibles, limitant consid</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rablement les possibilit</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s d</w:t>
      </w:r>
      <w:r w:rsidRPr="00112259">
        <w:rPr>
          <w:rFonts w:ascii="Mangal" w:hAnsi="Mangal" w:cs="Mangal"/>
          <w:sz w:val="20"/>
          <w:szCs w:val="20"/>
          <w:lang w:eastAsia="fr-FR"/>
        </w:rPr>
        <w:t>’</w:t>
      </w:r>
      <w:r w:rsidRPr="00112259">
        <w:rPr>
          <w:rFonts w:ascii="Kohinoor Devanagari" w:hAnsi="Kohinoor Devanagari" w:cs="Kohinoor Devanagari"/>
          <w:sz w:val="20"/>
          <w:szCs w:val="20"/>
          <w:lang w:eastAsia="fr-FR"/>
        </w:rPr>
        <w:t>analyse.</w:t>
      </w:r>
    </w:p>
    <w:p w14:paraId="20F1E0E3" w14:textId="77777777" w:rsidR="004E16A7" w:rsidRPr="00112259" w:rsidRDefault="004E16A7" w:rsidP="00CB4D41">
      <w:pPr>
        <w:numPr>
          <w:ilvl w:val="0"/>
          <w:numId w:val="135"/>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Obsolescence des données</w:t>
      </w:r>
      <w:r w:rsidRPr="00112259">
        <w:rPr>
          <w:rFonts w:ascii="Kohinoor Devanagari" w:hAnsi="Kohinoor Devanagari" w:cs="Kohinoor Devanagari"/>
          <w:sz w:val="20"/>
          <w:szCs w:val="20"/>
          <w:lang w:eastAsia="fr-FR"/>
        </w:rPr>
        <w:t xml:space="preserve"> : 8 répondants (57,1</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xml:space="preserve">%) soulignent un manque de mise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jour r</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guli</w:t>
      </w:r>
      <w:r w:rsidRPr="00112259">
        <w:rPr>
          <w:rFonts w:ascii="Mangal" w:hAnsi="Mangal" w:cs="Mangal"/>
          <w:sz w:val="20"/>
          <w:szCs w:val="20"/>
          <w:lang w:eastAsia="fr-FR"/>
        </w:rPr>
        <w:t>è</w:t>
      </w:r>
      <w:r w:rsidRPr="00112259">
        <w:rPr>
          <w:rFonts w:ascii="Kohinoor Devanagari" w:hAnsi="Kohinoor Devanagari" w:cs="Kohinoor Devanagari"/>
          <w:sz w:val="20"/>
          <w:szCs w:val="20"/>
          <w:lang w:eastAsia="fr-FR"/>
        </w:rPr>
        <w:t>re, qui compromet la fiabilit</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 et la pertinence des donn</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es publi</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es.</w:t>
      </w:r>
    </w:p>
    <w:p w14:paraId="7A4D208E" w14:textId="77777777" w:rsidR="004E16A7" w:rsidRPr="00112259" w:rsidRDefault="004E16A7" w:rsidP="00CB4D41">
      <w:pPr>
        <w:numPr>
          <w:ilvl w:val="0"/>
          <w:numId w:val="135"/>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Restrictions d’accès et confidentialité</w:t>
      </w:r>
      <w:r w:rsidRPr="00112259">
        <w:rPr>
          <w:rFonts w:ascii="Kohinoor Devanagari" w:hAnsi="Kohinoor Devanagari" w:cs="Kohinoor Devanagari"/>
          <w:sz w:val="20"/>
          <w:szCs w:val="20"/>
          <w:lang w:eastAsia="fr-FR"/>
        </w:rPr>
        <w:t xml:space="preserve"> : 6 répondants (42,9</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xml:space="preserve">%) </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voquent des obstacles li</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s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des barri</w:t>
      </w:r>
      <w:r w:rsidRPr="00112259">
        <w:rPr>
          <w:rFonts w:ascii="Mangal" w:hAnsi="Mangal" w:cs="Mangal"/>
          <w:sz w:val="20"/>
          <w:szCs w:val="20"/>
          <w:lang w:eastAsia="fr-FR"/>
        </w:rPr>
        <w:t>è</w:t>
      </w:r>
      <w:r w:rsidRPr="00112259">
        <w:rPr>
          <w:rFonts w:ascii="Kohinoor Devanagari" w:hAnsi="Kohinoor Devanagari" w:cs="Kohinoor Devanagari"/>
          <w:sz w:val="20"/>
          <w:szCs w:val="20"/>
          <w:lang w:eastAsia="fr-FR"/>
        </w:rPr>
        <w:t xml:space="preserve">res administratives ou juridiques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l</w:t>
      </w:r>
      <w:r w:rsidRPr="00112259">
        <w:rPr>
          <w:rFonts w:ascii="Mangal" w:hAnsi="Mangal" w:cs="Mangal"/>
          <w:sz w:val="20"/>
          <w:szCs w:val="20"/>
          <w:lang w:eastAsia="fr-FR"/>
        </w:rPr>
        <w:t>’</w:t>
      </w:r>
      <w:r w:rsidRPr="00112259">
        <w:rPr>
          <w:rFonts w:ascii="Kohinoor Devanagari" w:hAnsi="Kohinoor Devanagari" w:cs="Kohinoor Devanagari"/>
          <w:sz w:val="20"/>
          <w:szCs w:val="20"/>
          <w:lang w:eastAsia="fr-FR"/>
        </w:rPr>
        <w:t>acc</w:t>
      </w:r>
      <w:r w:rsidRPr="00112259">
        <w:rPr>
          <w:rFonts w:ascii="Mangal" w:hAnsi="Mangal" w:cs="Mangal"/>
          <w:sz w:val="20"/>
          <w:szCs w:val="20"/>
          <w:lang w:eastAsia="fr-FR"/>
        </w:rPr>
        <w:t>è</w:t>
      </w:r>
      <w:r w:rsidRPr="00112259">
        <w:rPr>
          <w:rFonts w:ascii="Kohinoor Devanagari" w:hAnsi="Kohinoor Devanagari" w:cs="Kohinoor Devanagari"/>
          <w:sz w:val="20"/>
          <w:szCs w:val="20"/>
          <w:lang w:eastAsia="fr-FR"/>
        </w:rPr>
        <w:t>s aux donn</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es.</w:t>
      </w:r>
    </w:p>
    <w:p w14:paraId="7BE6DB59" w14:textId="77777777" w:rsidR="004E16A7" w:rsidRPr="00112259" w:rsidRDefault="004E16A7" w:rsidP="00CB4D41">
      <w:pPr>
        <w:numPr>
          <w:ilvl w:val="0"/>
          <w:numId w:val="135"/>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Formats non exploitables</w:t>
      </w:r>
      <w:r w:rsidRPr="00112259">
        <w:rPr>
          <w:rFonts w:ascii="Kohinoor Devanagari" w:hAnsi="Kohinoor Devanagari" w:cs="Kohinoor Devanagari"/>
          <w:sz w:val="20"/>
          <w:szCs w:val="20"/>
          <w:lang w:eastAsia="fr-FR"/>
        </w:rPr>
        <w:t xml:space="preserve"> : 2 répondants (14,3</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mentionnent des difficult</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s techniques li</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es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la structuration ou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l</w:t>
      </w:r>
      <w:r w:rsidRPr="00112259">
        <w:rPr>
          <w:rFonts w:ascii="Mangal" w:hAnsi="Mangal" w:cs="Mangal"/>
          <w:sz w:val="20"/>
          <w:szCs w:val="20"/>
          <w:lang w:eastAsia="fr-FR"/>
        </w:rPr>
        <w:t>’</w:t>
      </w:r>
      <w:r w:rsidRPr="00112259">
        <w:rPr>
          <w:rFonts w:ascii="Kohinoor Devanagari" w:hAnsi="Kohinoor Devanagari" w:cs="Kohinoor Devanagari"/>
          <w:sz w:val="20"/>
          <w:szCs w:val="20"/>
          <w:lang w:eastAsia="fr-FR"/>
        </w:rPr>
        <w:t>interop</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rabilit</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 des fichiers disponibles.</w:t>
      </w:r>
    </w:p>
    <w:p w14:paraId="6279D799"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Analyse</w:t>
      </w:r>
      <w:r w:rsidRPr="00112259">
        <w:rPr>
          <w:rFonts w:ascii="Kohinoor Devanagari" w:hAnsi="Kohinoor Devanagari" w:cs="Kohinoor Devanagari"/>
          <w:sz w:val="20"/>
          <w:szCs w:val="20"/>
          <w:lang w:eastAsia="fr-FR"/>
        </w:rPr>
        <w:t xml:space="preserve"> : L’enjeu majeur ne réside pas uniquement dans la publication des données, mais dans leur accessibilité effective, leur actualisation régulière et leur conformité à des formats ouverts et exploitables. La levée des restrictions institutionnelles et la standardisation des formats constituent des conditions essentielles à la valorisation des données ITIE.</w:t>
      </w:r>
    </w:p>
    <w:p w14:paraId="7750E291" w14:textId="77777777" w:rsidR="004E16A7" w:rsidRPr="00112259" w:rsidRDefault="004E16A7" w:rsidP="00CB4D41">
      <w:pPr>
        <w:spacing w:before="120" w:after="120" w:line="240" w:lineRule="auto"/>
        <w:jc w:val="both"/>
        <w:rPr>
          <w:rFonts w:ascii="Kohinoor Devanagari" w:hAnsi="Kohinoor Devanagari" w:cs="Kohinoor Devanagari"/>
          <w:b/>
          <w:bCs/>
          <w:sz w:val="20"/>
          <w:szCs w:val="20"/>
          <w:lang w:eastAsia="fr-FR"/>
        </w:rPr>
      </w:pPr>
      <w:r w:rsidRPr="00112259">
        <w:rPr>
          <w:rFonts w:ascii="Kohinoor Devanagari" w:hAnsi="Kohinoor Devanagari" w:cs="Kohinoor Devanagari"/>
          <w:b/>
          <w:bCs/>
          <w:sz w:val="20"/>
          <w:szCs w:val="20"/>
          <w:lang w:eastAsia="fr-FR"/>
        </w:rPr>
        <w:t>(ii) Besoins en renforcement de capacités</w:t>
      </w:r>
    </w:p>
    <w:p w14:paraId="7510DAA5"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sz w:val="20"/>
          <w:szCs w:val="20"/>
          <w:lang w:eastAsia="fr-FR"/>
        </w:rPr>
        <w:t>Les utilisateurs expriment une forte attente en matière de développement des compétences :</w:t>
      </w:r>
    </w:p>
    <w:p w14:paraId="22A0E374" w14:textId="77777777" w:rsidR="004E16A7" w:rsidRPr="00112259" w:rsidRDefault="004E16A7" w:rsidP="00CB4D41">
      <w:pPr>
        <w:numPr>
          <w:ilvl w:val="0"/>
          <w:numId w:val="136"/>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Analyse de données</w:t>
      </w:r>
      <w:r w:rsidRPr="00112259">
        <w:rPr>
          <w:rFonts w:ascii="Kohinoor Devanagari" w:hAnsi="Kohinoor Devanagari" w:cs="Kohinoor Devanagari"/>
          <w:sz w:val="20"/>
          <w:szCs w:val="20"/>
          <w:lang w:eastAsia="fr-FR"/>
        </w:rPr>
        <w:t xml:space="preserve"> : 13 répondants (92,9</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xml:space="preserve">%) souhaitent </w:t>
      </w:r>
      <w:r w:rsidRPr="00112259">
        <w:rPr>
          <w:rFonts w:ascii="Mangal" w:hAnsi="Mangal" w:cs="Mangal"/>
          <w:sz w:val="20"/>
          <w:szCs w:val="20"/>
          <w:lang w:eastAsia="fr-FR"/>
        </w:rPr>
        <w:t>ê</w:t>
      </w:r>
      <w:r w:rsidRPr="00112259">
        <w:rPr>
          <w:rFonts w:ascii="Kohinoor Devanagari" w:hAnsi="Kohinoor Devanagari" w:cs="Kohinoor Devanagari"/>
          <w:sz w:val="20"/>
          <w:szCs w:val="20"/>
          <w:lang w:eastAsia="fr-FR"/>
        </w:rPr>
        <w:t>tre form</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s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l</w:t>
      </w:r>
      <w:r w:rsidRPr="00112259">
        <w:rPr>
          <w:rFonts w:ascii="Mangal" w:hAnsi="Mangal" w:cs="Mangal"/>
          <w:sz w:val="20"/>
          <w:szCs w:val="20"/>
          <w:lang w:eastAsia="fr-FR"/>
        </w:rPr>
        <w:t>’</w:t>
      </w:r>
      <w:r w:rsidRPr="00112259">
        <w:rPr>
          <w:rFonts w:ascii="Kohinoor Devanagari" w:hAnsi="Kohinoor Devanagari" w:cs="Kohinoor Devanagari"/>
          <w:sz w:val="20"/>
          <w:szCs w:val="20"/>
          <w:lang w:eastAsia="fr-FR"/>
        </w:rPr>
        <w:t>interpr</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tation et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la valorisation des donn</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es extractives.</w:t>
      </w:r>
    </w:p>
    <w:p w14:paraId="1142A831" w14:textId="77777777" w:rsidR="004E16A7" w:rsidRPr="00112259" w:rsidRDefault="004E16A7" w:rsidP="00CB4D41">
      <w:pPr>
        <w:numPr>
          <w:ilvl w:val="0"/>
          <w:numId w:val="136"/>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lastRenderedPageBreak/>
        <w:t>Utilisation de bases de données</w:t>
      </w:r>
      <w:r w:rsidRPr="00112259">
        <w:rPr>
          <w:rFonts w:ascii="Kohinoor Devanagari" w:hAnsi="Kohinoor Devanagari" w:cs="Kohinoor Devanagari"/>
          <w:sz w:val="20"/>
          <w:szCs w:val="20"/>
          <w:lang w:eastAsia="fr-FR"/>
        </w:rPr>
        <w:t xml:space="preserve"> et </w:t>
      </w:r>
      <w:r w:rsidRPr="00112259">
        <w:rPr>
          <w:rFonts w:ascii="Kohinoor Devanagari" w:hAnsi="Kohinoor Devanagari" w:cs="Kohinoor Devanagari"/>
          <w:b/>
          <w:bCs/>
          <w:sz w:val="20"/>
          <w:szCs w:val="20"/>
          <w:lang w:eastAsia="fr-FR"/>
        </w:rPr>
        <w:t>développement de tableaux de bord</w:t>
      </w:r>
      <w:r w:rsidRPr="00112259">
        <w:rPr>
          <w:rFonts w:ascii="Kohinoor Devanagari" w:hAnsi="Kohinoor Devanagari" w:cs="Kohinoor Devanagari"/>
          <w:sz w:val="20"/>
          <w:szCs w:val="20"/>
          <w:lang w:eastAsia="fr-FR"/>
        </w:rPr>
        <w:t xml:space="preserve"> : 7 répondants (50</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expriment ce besoin, montrant une volont</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 d</w:t>
      </w:r>
      <w:r w:rsidRPr="00112259">
        <w:rPr>
          <w:rFonts w:ascii="Mangal" w:hAnsi="Mangal" w:cs="Mangal"/>
          <w:sz w:val="20"/>
          <w:szCs w:val="20"/>
          <w:lang w:eastAsia="fr-FR"/>
        </w:rPr>
        <w:t>’</w:t>
      </w:r>
      <w:r w:rsidRPr="00112259">
        <w:rPr>
          <w:rFonts w:ascii="Kohinoor Devanagari" w:hAnsi="Kohinoor Devanagari" w:cs="Kohinoor Devanagari"/>
          <w:sz w:val="20"/>
          <w:szCs w:val="20"/>
          <w:lang w:eastAsia="fr-FR"/>
        </w:rPr>
        <w:t>acc</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 xml:space="preserve">der </w:t>
      </w:r>
      <w:r w:rsidRPr="00112259">
        <w:rPr>
          <w:rFonts w:ascii="Mangal" w:hAnsi="Mangal" w:cs="Mangal"/>
          <w:sz w:val="20"/>
          <w:szCs w:val="20"/>
          <w:lang w:eastAsia="fr-FR"/>
        </w:rPr>
        <w:t>à</w:t>
      </w:r>
      <w:r w:rsidRPr="00112259">
        <w:rPr>
          <w:rFonts w:ascii="Kohinoor Devanagari" w:hAnsi="Kohinoor Devanagari" w:cs="Kohinoor Devanagari"/>
          <w:sz w:val="20"/>
          <w:szCs w:val="20"/>
          <w:lang w:eastAsia="fr-FR"/>
        </w:rPr>
        <w:t xml:space="preserve"> des outils dynamiques et interactifs.</w:t>
      </w:r>
    </w:p>
    <w:p w14:paraId="453B2B7A" w14:textId="77777777" w:rsidR="004E16A7" w:rsidRPr="00112259" w:rsidRDefault="004E16A7" w:rsidP="00CB4D41">
      <w:pPr>
        <w:numPr>
          <w:ilvl w:val="0"/>
          <w:numId w:val="136"/>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Production de rapports simplifiés</w:t>
      </w:r>
      <w:r w:rsidRPr="00112259">
        <w:rPr>
          <w:rFonts w:ascii="Kohinoor Devanagari" w:hAnsi="Kohinoor Devanagari" w:cs="Kohinoor Devanagari"/>
          <w:sz w:val="20"/>
          <w:szCs w:val="20"/>
          <w:lang w:eastAsia="fr-FR"/>
        </w:rPr>
        <w:t xml:space="preserve"> : 6 répondants (42,9</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souhaitent acqu</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rir des comp</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tences en communication technique vulgaris</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e.</w:t>
      </w:r>
    </w:p>
    <w:p w14:paraId="09FFD2B2" w14:textId="77777777" w:rsidR="004E16A7" w:rsidRPr="00112259" w:rsidRDefault="004E16A7" w:rsidP="00CB4D41">
      <w:pPr>
        <w:numPr>
          <w:ilvl w:val="0"/>
          <w:numId w:val="136"/>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Lecture des contrats extractifs</w:t>
      </w:r>
      <w:r w:rsidRPr="00112259">
        <w:rPr>
          <w:rFonts w:ascii="Kohinoor Devanagari" w:hAnsi="Kohinoor Devanagari" w:cs="Kohinoor Devanagari"/>
          <w:sz w:val="20"/>
          <w:szCs w:val="20"/>
          <w:lang w:eastAsia="fr-FR"/>
        </w:rPr>
        <w:t xml:space="preserve"> : 4 répondants (28,6</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demandent une meilleure compr</w:t>
      </w:r>
      <w:r w:rsidRPr="00112259">
        <w:rPr>
          <w:rFonts w:ascii="Mangal" w:hAnsi="Mangal" w:cs="Mangal"/>
          <w:sz w:val="20"/>
          <w:szCs w:val="20"/>
          <w:lang w:eastAsia="fr-FR"/>
        </w:rPr>
        <w:t>é</w:t>
      </w:r>
      <w:r w:rsidRPr="00112259">
        <w:rPr>
          <w:rFonts w:ascii="Kohinoor Devanagari" w:hAnsi="Kohinoor Devanagari" w:cs="Kohinoor Devanagari"/>
          <w:sz w:val="20"/>
          <w:szCs w:val="20"/>
          <w:lang w:eastAsia="fr-FR"/>
        </w:rPr>
        <w:t>hension des obligations contractuelles, notamment en mati</w:t>
      </w:r>
      <w:r w:rsidRPr="00112259">
        <w:rPr>
          <w:rFonts w:ascii="Mangal" w:hAnsi="Mangal" w:cs="Mangal"/>
          <w:sz w:val="20"/>
          <w:szCs w:val="20"/>
          <w:lang w:eastAsia="fr-FR"/>
        </w:rPr>
        <w:t>è</w:t>
      </w:r>
      <w:r w:rsidRPr="00112259">
        <w:rPr>
          <w:rFonts w:ascii="Kohinoor Devanagari" w:hAnsi="Kohinoor Devanagari" w:cs="Kohinoor Devanagari"/>
          <w:sz w:val="20"/>
          <w:szCs w:val="20"/>
          <w:lang w:eastAsia="fr-FR"/>
        </w:rPr>
        <w:t>re de divulgation.</w:t>
      </w:r>
    </w:p>
    <w:p w14:paraId="3642B54E"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Analyse</w:t>
      </w:r>
      <w:r w:rsidRPr="00112259">
        <w:rPr>
          <w:rFonts w:ascii="Kohinoor Devanagari" w:hAnsi="Kohinoor Devanagari" w:cs="Kohinoor Devanagari"/>
          <w:sz w:val="20"/>
          <w:szCs w:val="20"/>
          <w:lang w:eastAsia="fr-FR"/>
        </w:rPr>
        <w:t xml:space="preserve"> : Ces résultats indiquent un déficit de capacités dans la chaîne complète de traitement de l’information : extraction, analyse, synthèse et diffusion. Un programme de renforcement ciblé, combinant formation pratique et accompagnement dans l’usage d’outils numériques, pourrait générer un changement de pratique significatif.</w:t>
      </w:r>
    </w:p>
    <w:p w14:paraId="3832457B" w14:textId="77777777" w:rsidR="004E16A7" w:rsidRPr="00112259" w:rsidRDefault="004E16A7" w:rsidP="00CB4D41">
      <w:pPr>
        <w:spacing w:before="120" w:after="120" w:line="240" w:lineRule="auto"/>
        <w:jc w:val="both"/>
        <w:rPr>
          <w:rFonts w:ascii="Kohinoor Devanagari" w:hAnsi="Kohinoor Devanagari" w:cs="Kohinoor Devanagari"/>
          <w:b/>
          <w:bCs/>
          <w:sz w:val="20"/>
          <w:szCs w:val="20"/>
          <w:lang w:eastAsia="fr-FR"/>
        </w:rPr>
      </w:pPr>
      <w:r w:rsidRPr="00112259">
        <w:rPr>
          <w:rFonts w:ascii="Kohinoor Devanagari" w:hAnsi="Kohinoor Devanagari" w:cs="Kohinoor Devanagari"/>
          <w:b/>
          <w:bCs/>
          <w:sz w:val="20"/>
          <w:szCs w:val="20"/>
          <w:lang w:eastAsia="fr-FR"/>
        </w:rPr>
        <w:t>(iii) Inclusion des groupes vulnérables : perception critique</w:t>
      </w:r>
    </w:p>
    <w:p w14:paraId="7BA058D8"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sz w:val="20"/>
          <w:szCs w:val="20"/>
          <w:lang w:eastAsia="fr-FR"/>
        </w:rPr>
        <w:t>À la question sur l’adéquation de la divulgation actuelle aux besoins des groupes vulnérables :</w:t>
      </w:r>
    </w:p>
    <w:p w14:paraId="517D5C84" w14:textId="77777777" w:rsidR="004E16A7" w:rsidRPr="00112259" w:rsidRDefault="004E16A7" w:rsidP="00CB4D41">
      <w:pPr>
        <w:numPr>
          <w:ilvl w:val="0"/>
          <w:numId w:val="137"/>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78,6</w:t>
      </w:r>
      <w:r w:rsidRPr="00112259">
        <w:rPr>
          <w:rFonts w:ascii="Times New Roman" w:hAnsi="Times New Roman" w:cs="Times New Roman"/>
          <w:b/>
          <w:bCs/>
          <w:sz w:val="20"/>
          <w:szCs w:val="20"/>
          <w:lang w:eastAsia="fr-FR"/>
        </w:rPr>
        <w:t> </w:t>
      </w:r>
      <w:r w:rsidRPr="00112259">
        <w:rPr>
          <w:rFonts w:ascii="Kohinoor Devanagari" w:hAnsi="Kohinoor Devanagari" w:cs="Kohinoor Devanagari"/>
          <w:b/>
          <w:bCs/>
          <w:sz w:val="20"/>
          <w:szCs w:val="20"/>
          <w:lang w:eastAsia="fr-FR"/>
        </w:rPr>
        <w:t>%</w:t>
      </w:r>
      <w:r w:rsidRPr="00112259">
        <w:rPr>
          <w:rFonts w:ascii="Kohinoor Devanagari" w:hAnsi="Kohinoor Devanagari" w:cs="Kohinoor Devanagari"/>
          <w:sz w:val="20"/>
          <w:szCs w:val="20"/>
          <w:lang w:eastAsia="fr-FR"/>
        </w:rPr>
        <w:t xml:space="preserve"> des répondants estiment que </w:t>
      </w:r>
      <w:r w:rsidRPr="00112259">
        <w:rPr>
          <w:rFonts w:ascii="Kohinoor Devanagari" w:hAnsi="Kohinoor Devanagari" w:cs="Kohinoor Devanagari"/>
          <w:b/>
          <w:bCs/>
          <w:sz w:val="20"/>
          <w:szCs w:val="20"/>
          <w:lang w:eastAsia="fr-FR"/>
        </w:rPr>
        <w:t>les données ITIE ne répondent pas aux besoins spécifiques de ces groupes</w:t>
      </w:r>
      <w:r w:rsidRPr="00112259">
        <w:rPr>
          <w:rFonts w:ascii="Kohinoor Devanagari" w:hAnsi="Kohinoor Devanagari" w:cs="Kohinoor Devanagari"/>
          <w:sz w:val="20"/>
          <w:szCs w:val="20"/>
          <w:lang w:eastAsia="fr-FR"/>
        </w:rPr>
        <w:t>.</w:t>
      </w:r>
    </w:p>
    <w:p w14:paraId="51530C25" w14:textId="77777777" w:rsidR="004E16A7" w:rsidRPr="00112259" w:rsidRDefault="004E16A7" w:rsidP="00CB4D41">
      <w:pPr>
        <w:numPr>
          <w:ilvl w:val="0"/>
          <w:numId w:val="137"/>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sz w:val="20"/>
          <w:szCs w:val="20"/>
          <w:lang w:eastAsia="fr-FR"/>
        </w:rPr>
        <w:t xml:space="preserve">Seuls </w:t>
      </w:r>
      <w:r w:rsidRPr="00112259">
        <w:rPr>
          <w:rFonts w:ascii="Kohinoor Devanagari" w:hAnsi="Kohinoor Devanagari" w:cs="Kohinoor Devanagari"/>
          <w:b/>
          <w:bCs/>
          <w:sz w:val="20"/>
          <w:szCs w:val="20"/>
          <w:lang w:eastAsia="fr-FR"/>
        </w:rPr>
        <w:t>21,4</w:t>
      </w:r>
      <w:r w:rsidRPr="00112259">
        <w:rPr>
          <w:rFonts w:ascii="Times New Roman" w:hAnsi="Times New Roman" w:cs="Times New Roman"/>
          <w:b/>
          <w:bCs/>
          <w:sz w:val="20"/>
          <w:szCs w:val="20"/>
          <w:lang w:eastAsia="fr-FR"/>
        </w:rPr>
        <w:t> </w:t>
      </w:r>
      <w:r w:rsidRPr="00112259">
        <w:rPr>
          <w:rFonts w:ascii="Kohinoor Devanagari" w:hAnsi="Kohinoor Devanagari" w:cs="Kohinoor Devanagari"/>
          <w:b/>
          <w:bCs/>
          <w:sz w:val="20"/>
          <w:szCs w:val="20"/>
          <w:lang w:eastAsia="fr-FR"/>
        </w:rPr>
        <w:t>%</w:t>
      </w:r>
      <w:r w:rsidRPr="00112259">
        <w:rPr>
          <w:rFonts w:ascii="Kohinoor Devanagari" w:hAnsi="Kohinoor Devanagari" w:cs="Kohinoor Devanagari"/>
          <w:sz w:val="20"/>
          <w:szCs w:val="20"/>
          <w:lang w:eastAsia="fr-FR"/>
        </w:rPr>
        <w:t xml:space="preserve"> considèrent que les données sont accessibles et compréhensibles pour les communautés marginalisées.</w:t>
      </w:r>
    </w:p>
    <w:p w14:paraId="7A05B943"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Analyse</w:t>
      </w:r>
      <w:r w:rsidRPr="00112259">
        <w:rPr>
          <w:rFonts w:ascii="Kohinoor Devanagari" w:hAnsi="Kohinoor Devanagari" w:cs="Kohinoor Devanagari"/>
          <w:sz w:val="20"/>
          <w:szCs w:val="20"/>
          <w:lang w:eastAsia="fr-FR"/>
        </w:rPr>
        <w:t xml:space="preserve"> : Ces résultats révèlent un déficit d’accessibilité sociale, en particulier dans la présentation, la diffusion et la contextualisation des données. Une stratégie de « communication inclusive », via des supports simplifiés et multilingues, est nécessaire pour renforcer la portée citoyenne des divulgations.</w:t>
      </w:r>
    </w:p>
    <w:p w14:paraId="48A126AA" w14:textId="77777777" w:rsidR="004E16A7" w:rsidRPr="00112259" w:rsidRDefault="004E16A7" w:rsidP="00CB4D41">
      <w:pPr>
        <w:spacing w:before="120" w:after="120" w:line="240" w:lineRule="auto"/>
        <w:jc w:val="both"/>
        <w:rPr>
          <w:rFonts w:ascii="Kohinoor Devanagari" w:hAnsi="Kohinoor Devanagari" w:cs="Kohinoor Devanagari"/>
          <w:b/>
          <w:bCs/>
          <w:sz w:val="20"/>
          <w:szCs w:val="20"/>
          <w:lang w:eastAsia="fr-FR"/>
        </w:rPr>
      </w:pPr>
      <w:r w:rsidRPr="00112259">
        <w:rPr>
          <w:rFonts w:ascii="Kohinoor Devanagari" w:hAnsi="Kohinoor Devanagari" w:cs="Kohinoor Devanagari"/>
          <w:b/>
          <w:bCs/>
          <w:sz w:val="20"/>
          <w:szCs w:val="20"/>
          <w:lang w:eastAsia="fr-FR"/>
        </w:rPr>
        <w:t>(iv) Usages potentiels en cas de divulgation systématique accrue</w:t>
      </w:r>
    </w:p>
    <w:p w14:paraId="6955342D"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sz w:val="20"/>
          <w:szCs w:val="20"/>
          <w:lang w:eastAsia="fr-FR"/>
        </w:rPr>
        <w:t>Si les données extractives étaient rendues disponibles de manière systématique, les utilisateurs les exploiteraient prioritairement pour :</w:t>
      </w:r>
    </w:p>
    <w:p w14:paraId="04BF9C2F" w14:textId="77777777" w:rsidR="004E16A7" w:rsidRPr="00112259" w:rsidRDefault="004E16A7" w:rsidP="00CB4D41">
      <w:pPr>
        <w:numPr>
          <w:ilvl w:val="0"/>
          <w:numId w:val="138"/>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Appui à la transparence locale</w:t>
      </w:r>
      <w:r w:rsidRPr="00112259">
        <w:rPr>
          <w:rFonts w:ascii="Kohinoor Devanagari" w:hAnsi="Kohinoor Devanagari" w:cs="Kohinoor Devanagari"/>
          <w:sz w:val="20"/>
          <w:szCs w:val="20"/>
          <w:lang w:eastAsia="fr-FR"/>
        </w:rPr>
        <w:t xml:space="preserve"> (64,3</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w:t>
      </w:r>
    </w:p>
    <w:p w14:paraId="45D777E3" w14:textId="77777777" w:rsidR="004E16A7" w:rsidRPr="00112259" w:rsidRDefault="004E16A7" w:rsidP="00CB4D41">
      <w:pPr>
        <w:numPr>
          <w:ilvl w:val="0"/>
          <w:numId w:val="138"/>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Plaidoyer</w:t>
      </w:r>
      <w:r w:rsidRPr="00112259">
        <w:rPr>
          <w:rFonts w:ascii="Kohinoor Devanagari" w:hAnsi="Kohinoor Devanagari" w:cs="Kohinoor Devanagari"/>
          <w:sz w:val="20"/>
          <w:szCs w:val="20"/>
          <w:lang w:eastAsia="fr-FR"/>
        </w:rPr>
        <w:t xml:space="preserve"> et </w:t>
      </w:r>
      <w:r w:rsidRPr="00112259">
        <w:rPr>
          <w:rFonts w:ascii="Kohinoor Devanagari" w:hAnsi="Kohinoor Devanagari" w:cs="Kohinoor Devanagari"/>
          <w:b/>
          <w:bCs/>
          <w:sz w:val="20"/>
          <w:szCs w:val="20"/>
          <w:lang w:eastAsia="fr-FR"/>
        </w:rPr>
        <w:t>production de rapports analytiques</w:t>
      </w:r>
      <w:r w:rsidRPr="00112259">
        <w:rPr>
          <w:rFonts w:ascii="Kohinoor Devanagari" w:hAnsi="Kohinoor Devanagari" w:cs="Kohinoor Devanagari"/>
          <w:sz w:val="20"/>
          <w:szCs w:val="20"/>
          <w:lang w:eastAsia="fr-FR"/>
        </w:rPr>
        <w:t xml:space="preserve"> (57,1</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 chacun),</w:t>
      </w:r>
    </w:p>
    <w:p w14:paraId="761F1DDF" w14:textId="77777777" w:rsidR="004E16A7" w:rsidRPr="00112259" w:rsidRDefault="004E16A7" w:rsidP="00CB4D41">
      <w:pPr>
        <w:numPr>
          <w:ilvl w:val="0"/>
          <w:numId w:val="138"/>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Sensibilisation via les médias</w:t>
      </w:r>
      <w:r w:rsidRPr="00112259">
        <w:rPr>
          <w:rFonts w:ascii="Kohinoor Devanagari" w:hAnsi="Kohinoor Devanagari" w:cs="Kohinoor Devanagari"/>
          <w:sz w:val="20"/>
          <w:szCs w:val="20"/>
          <w:lang w:eastAsia="fr-FR"/>
        </w:rPr>
        <w:t xml:space="preserve"> (50</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w:t>
      </w:r>
    </w:p>
    <w:p w14:paraId="22C9EF1F" w14:textId="77777777" w:rsidR="004E16A7" w:rsidRPr="00112259" w:rsidRDefault="004E16A7" w:rsidP="00CB4D41">
      <w:pPr>
        <w:numPr>
          <w:ilvl w:val="0"/>
          <w:numId w:val="138"/>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Mobilisation citoyenne</w:t>
      </w:r>
      <w:r w:rsidRPr="00112259">
        <w:rPr>
          <w:rFonts w:ascii="Kohinoor Devanagari" w:hAnsi="Kohinoor Devanagari" w:cs="Kohinoor Devanagari"/>
          <w:sz w:val="20"/>
          <w:szCs w:val="20"/>
          <w:lang w:eastAsia="fr-FR"/>
        </w:rPr>
        <w:t xml:space="preserve"> (42,9</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w:t>
      </w:r>
    </w:p>
    <w:p w14:paraId="37E73C86" w14:textId="77777777" w:rsidR="004E16A7" w:rsidRPr="00112259" w:rsidRDefault="004E16A7" w:rsidP="00CB4D41">
      <w:pPr>
        <w:numPr>
          <w:ilvl w:val="0"/>
          <w:numId w:val="138"/>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Recherche académique</w:t>
      </w:r>
      <w:r w:rsidRPr="00112259">
        <w:rPr>
          <w:rFonts w:ascii="Kohinoor Devanagari" w:hAnsi="Kohinoor Devanagari" w:cs="Kohinoor Devanagari"/>
          <w:sz w:val="20"/>
          <w:szCs w:val="20"/>
          <w:lang w:eastAsia="fr-FR"/>
        </w:rPr>
        <w:t xml:space="preserve"> (21,4</w:t>
      </w:r>
      <w:r w:rsidRPr="00112259">
        <w:rPr>
          <w:rFonts w:ascii="Times New Roman" w:hAnsi="Times New Roman" w:cs="Times New Roman"/>
          <w:sz w:val="20"/>
          <w:szCs w:val="20"/>
          <w:lang w:eastAsia="fr-FR"/>
        </w:rPr>
        <w:t> </w:t>
      </w:r>
      <w:r w:rsidRPr="00112259">
        <w:rPr>
          <w:rFonts w:ascii="Kohinoor Devanagari" w:hAnsi="Kohinoor Devanagari" w:cs="Kohinoor Devanagari"/>
          <w:sz w:val="20"/>
          <w:szCs w:val="20"/>
          <w:lang w:eastAsia="fr-FR"/>
        </w:rPr>
        <w:t>%).</w:t>
      </w:r>
    </w:p>
    <w:p w14:paraId="3D09A65D"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Analyse</w:t>
      </w:r>
      <w:r w:rsidRPr="00112259">
        <w:rPr>
          <w:rFonts w:ascii="Kohinoor Devanagari" w:hAnsi="Kohinoor Devanagari" w:cs="Kohinoor Devanagari"/>
          <w:sz w:val="20"/>
          <w:szCs w:val="20"/>
          <w:lang w:eastAsia="fr-FR"/>
        </w:rPr>
        <w:t xml:space="preserve"> : Les perspectives d’utilisation sont majoritairement orientées vers le plaidoyer, la gouvernance locale et la communication. La mise à disposition régulière de données fiables stimulerait l’émergence d’une culture de redevabilité fondée sur l’évidence (</w:t>
      </w:r>
      <w:proofErr w:type="spellStart"/>
      <w:r w:rsidRPr="00112259">
        <w:rPr>
          <w:rFonts w:ascii="Kohinoor Devanagari" w:hAnsi="Kohinoor Devanagari" w:cs="Kohinoor Devanagari"/>
          <w:sz w:val="20"/>
          <w:szCs w:val="20"/>
          <w:lang w:eastAsia="fr-FR"/>
        </w:rPr>
        <w:t>evidence-based</w:t>
      </w:r>
      <w:proofErr w:type="spellEnd"/>
      <w:r w:rsidRPr="00112259">
        <w:rPr>
          <w:rFonts w:ascii="Kohinoor Devanagari" w:hAnsi="Kohinoor Devanagari" w:cs="Kohinoor Devanagari"/>
          <w:sz w:val="20"/>
          <w:szCs w:val="20"/>
          <w:lang w:eastAsia="fr-FR"/>
        </w:rPr>
        <w:t xml:space="preserve"> </w:t>
      </w:r>
      <w:proofErr w:type="spellStart"/>
      <w:r w:rsidRPr="00112259">
        <w:rPr>
          <w:rFonts w:ascii="Kohinoor Devanagari" w:hAnsi="Kohinoor Devanagari" w:cs="Kohinoor Devanagari"/>
          <w:sz w:val="20"/>
          <w:szCs w:val="20"/>
          <w:lang w:eastAsia="fr-FR"/>
        </w:rPr>
        <w:t>advocacy</w:t>
      </w:r>
      <w:proofErr w:type="spellEnd"/>
      <w:r w:rsidRPr="00112259">
        <w:rPr>
          <w:rFonts w:ascii="Kohinoor Devanagari" w:hAnsi="Kohinoor Devanagari" w:cs="Kohinoor Devanagari"/>
          <w:sz w:val="20"/>
          <w:szCs w:val="20"/>
          <w:lang w:eastAsia="fr-FR"/>
        </w:rPr>
        <w:t>).</w:t>
      </w:r>
    </w:p>
    <w:p w14:paraId="364014C7" w14:textId="77777777" w:rsidR="004E16A7" w:rsidRPr="00112259" w:rsidRDefault="004E16A7" w:rsidP="00CB4D41">
      <w:pPr>
        <w:spacing w:before="120" w:after="120" w:line="240" w:lineRule="auto"/>
        <w:jc w:val="both"/>
        <w:rPr>
          <w:rFonts w:ascii="Kohinoor Devanagari" w:hAnsi="Kohinoor Devanagari" w:cs="Kohinoor Devanagari"/>
          <w:b/>
          <w:bCs/>
          <w:sz w:val="20"/>
          <w:szCs w:val="20"/>
          <w:lang w:eastAsia="fr-FR"/>
        </w:rPr>
      </w:pPr>
      <w:r w:rsidRPr="00112259">
        <w:rPr>
          <w:rFonts w:ascii="Kohinoor Devanagari" w:hAnsi="Kohinoor Devanagari" w:cs="Kohinoor Devanagari"/>
          <w:b/>
          <w:bCs/>
          <w:sz w:val="20"/>
          <w:szCs w:val="20"/>
          <w:lang w:eastAsia="fr-FR"/>
        </w:rPr>
        <w:t>(v) Compétences et outils techniques disponibles</w:t>
      </w:r>
    </w:p>
    <w:p w14:paraId="5369EBB6" w14:textId="77777777" w:rsidR="004E16A7" w:rsidRPr="00112259"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sz w:val="20"/>
          <w:szCs w:val="20"/>
          <w:lang w:eastAsia="fr-FR"/>
        </w:rPr>
        <w:t>En termes d’outillage technique, les utilisateurs déclarent :</w:t>
      </w:r>
    </w:p>
    <w:p w14:paraId="218481A8" w14:textId="77777777" w:rsidR="004E16A7" w:rsidRPr="00112259" w:rsidRDefault="004E16A7" w:rsidP="00CB4D41">
      <w:pPr>
        <w:numPr>
          <w:ilvl w:val="0"/>
          <w:numId w:val="139"/>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lastRenderedPageBreak/>
        <w:t>50</w:t>
      </w:r>
      <w:r w:rsidRPr="00112259">
        <w:rPr>
          <w:rFonts w:ascii="Times New Roman" w:hAnsi="Times New Roman" w:cs="Times New Roman"/>
          <w:b/>
          <w:bCs/>
          <w:sz w:val="20"/>
          <w:szCs w:val="20"/>
          <w:lang w:eastAsia="fr-FR"/>
        </w:rPr>
        <w:t> </w:t>
      </w:r>
      <w:r w:rsidRPr="00112259">
        <w:rPr>
          <w:rFonts w:ascii="Kohinoor Devanagari" w:hAnsi="Kohinoor Devanagari" w:cs="Kohinoor Devanagari"/>
          <w:b/>
          <w:bCs/>
          <w:sz w:val="20"/>
          <w:szCs w:val="20"/>
          <w:lang w:eastAsia="fr-FR"/>
        </w:rPr>
        <w:t>%</w:t>
      </w:r>
      <w:r w:rsidRPr="00112259">
        <w:rPr>
          <w:rFonts w:ascii="Kohinoor Devanagari" w:hAnsi="Kohinoor Devanagari" w:cs="Kohinoor Devanagari"/>
          <w:sz w:val="20"/>
          <w:szCs w:val="20"/>
          <w:lang w:eastAsia="fr-FR"/>
        </w:rPr>
        <w:t xml:space="preserve"> n’avoir </w:t>
      </w:r>
      <w:r w:rsidRPr="00112259">
        <w:rPr>
          <w:rFonts w:ascii="Kohinoor Devanagari" w:hAnsi="Kohinoor Devanagari" w:cs="Kohinoor Devanagari"/>
          <w:b/>
          <w:bCs/>
          <w:sz w:val="20"/>
          <w:szCs w:val="20"/>
          <w:lang w:eastAsia="fr-FR"/>
        </w:rPr>
        <w:t>aucun outil</w:t>
      </w:r>
      <w:r w:rsidRPr="00112259">
        <w:rPr>
          <w:rFonts w:ascii="Kohinoor Devanagari" w:hAnsi="Kohinoor Devanagari" w:cs="Kohinoor Devanagari"/>
          <w:sz w:val="20"/>
          <w:szCs w:val="20"/>
          <w:lang w:eastAsia="fr-FR"/>
        </w:rPr>
        <w:t xml:space="preserve"> adapté ou se contenter de </w:t>
      </w:r>
      <w:r w:rsidRPr="00112259">
        <w:rPr>
          <w:rFonts w:ascii="Kohinoor Devanagari" w:hAnsi="Kohinoor Devanagari" w:cs="Kohinoor Devanagari"/>
          <w:b/>
          <w:bCs/>
          <w:sz w:val="20"/>
          <w:szCs w:val="20"/>
          <w:lang w:eastAsia="fr-FR"/>
        </w:rPr>
        <w:t>bases de données simples</w:t>
      </w:r>
      <w:r w:rsidRPr="00112259">
        <w:rPr>
          <w:rFonts w:ascii="Kohinoor Devanagari" w:hAnsi="Kohinoor Devanagari" w:cs="Kohinoor Devanagari"/>
          <w:sz w:val="20"/>
          <w:szCs w:val="20"/>
          <w:lang w:eastAsia="fr-FR"/>
        </w:rPr>
        <w:t>.</w:t>
      </w:r>
    </w:p>
    <w:p w14:paraId="736ECA04" w14:textId="77777777" w:rsidR="004E16A7" w:rsidRPr="00112259" w:rsidRDefault="004E16A7" w:rsidP="00CB4D41">
      <w:pPr>
        <w:numPr>
          <w:ilvl w:val="0"/>
          <w:numId w:val="139"/>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35,7</w:t>
      </w:r>
      <w:r w:rsidRPr="00112259">
        <w:rPr>
          <w:rFonts w:ascii="Times New Roman" w:hAnsi="Times New Roman" w:cs="Times New Roman"/>
          <w:b/>
          <w:bCs/>
          <w:sz w:val="20"/>
          <w:szCs w:val="20"/>
          <w:lang w:eastAsia="fr-FR"/>
        </w:rPr>
        <w:t> </w:t>
      </w:r>
      <w:r w:rsidRPr="00112259">
        <w:rPr>
          <w:rFonts w:ascii="Kohinoor Devanagari" w:hAnsi="Kohinoor Devanagari" w:cs="Kohinoor Devanagari"/>
          <w:b/>
          <w:bCs/>
          <w:sz w:val="20"/>
          <w:szCs w:val="20"/>
          <w:lang w:eastAsia="fr-FR"/>
        </w:rPr>
        <w:t>%</w:t>
      </w:r>
      <w:r w:rsidRPr="00112259">
        <w:rPr>
          <w:rFonts w:ascii="Kohinoor Devanagari" w:hAnsi="Kohinoor Devanagari" w:cs="Kohinoor Devanagari"/>
          <w:sz w:val="20"/>
          <w:szCs w:val="20"/>
          <w:lang w:eastAsia="fr-FR"/>
        </w:rPr>
        <w:t xml:space="preserve"> manipulent des </w:t>
      </w:r>
      <w:r w:rsidRPr="00112259">
        <w:rPr>
          <w:rFonts w:ascii="Kohinoor Devanagari" w:hAnsi="Kohinoor Devanagari" w:cs="Kohinoor Devanagari"/>
          <w:b/>
          <w:bCs/>
          <w:sz w:val="20"/>
          <w:szCs w:val="20"/>
          <w:lang w:eastAsia="fr-FR"/>
        </w:rPr>
        <w:t>tableaux Excel complexes</w:t>
      </w:r>
      <w:r w:rsidRPr="00112259">
        <w:rPr>
          <w:rFonts w:ascii="Kohinoor Devanagari" w:hAnsi="Kohinoor Devanagari" w:cs="Kohinoor Devanagari"/>
          <w:sz w:val="20"/>
          <w:szCs w:val="20"/>
          <w:lang w:eastAsia="fr-FR"/>
        </w:rPr>
        <w:t>.</w:t>
      </w:r>
    </w:p>
    <w:p w14:paraId="7C49004C" w14:textId="77777777" w:rsidR="004E16A7" w:rsidRPr="00112259" w:rsidRDefault="004E16A7" w:rsidP="00CB4D41">
      <w:pPr>
        <w:numPr>
          <w:ilvl w:val="0"/>
          <w:numId w:val="139"/>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21,4</w:t>
      </w:r>
      <w:r w:rsidRPr="00112259">
        <w:rPr>
          <w:rFonts w:ascii="Times New Roman" w:hAnsi="Times New Roman" w:cs="Times New Roman"/>
          <w:b/>
          <w:bCs/>
          <w:sz w:val="20"/>
          <w:szCs w:val="20"/>
          <w:lang w:eastAsia="fr-FR"/>
        </w:rPr>
        <w:t> </w:t>
      </w:r>
      <w:r w:rsidRPr="00112259">
        <w:rPr>
          <w:rFonts w:ascii="Kohinoor Devanagari" w:hAnsi="Kohinoor Devanagari" w:cs="Kohinoor Devanagari"/>
          <w:b/>
          <w:bCs/>
          <w:sz w:val="20"/>
          <w:szCs w:val="20"/>
          <w:lang w:eastAsia="fr-FR"/>
        </w:rPr>
        <w:t>%</w:t>
      </w:r>
      <w:r w:rsidRPr="00112259">
        <w:rPr>
          <w:rFonts w:ascii="Kohinoor Devanagari" w:hAnsi="Kohinoor Devanagari" w:cs="Kohinoor Devanagari"/>
          <w:sz w:val="20"/>
          <w:szCs w:val="20"/>
          <w:lang w:eastAsia="fr-FR"/>
        </w:rPr>
        <w:t xml:space="preserve"> utilisent des </w:t>
      </w:r>
      <w:proofErr w:type="spellStart"/>
      <w:r w:rsidRPr="00112259">
        <w:rPr>
          <w:rFonts w:ascii="Kohinoor Devanagari" w:hAnsi="Kohinoor Devanagari" w:cs="Kohinoor Devanagari"/>
          <w:b/>
          <w:bCs/>
          <w:sz w:val="20"/>
          <w:szCs w:val="20"/>
          <w:lang w:eastAsia="fr-FR"/>
        </w:rPr>
        <w:t>dashboards</w:t>
      </w:r>
      <w:proofErr w:type="spellEnd"/>
      <w:r w:rsidRPr="00112259">
        <w:rPr>
          <w:rFonts w:ascii="Kohinoor Devanagari" w:hAnsi="Kohinoor Devanagari" w:cs="Kohinoor Devanagari"/>
          <w:b/>
          <w:bCs/>
          <w:sz w:val="20"/>
          <w:szCs w:val="20"/>
          <w:lang w:eastAsia="fr-FR"/>
        </w:rPr>
        <w:t xml:space="preserve"> interactifs</w:t>
      </w:r>
      <w:r w:rsidRPr="00112259">
        <w:rPr>
          <w:rFonts w:ascii="Kohinoor Devanagari" w:hAnsi="Kohinoor Devanagari" w:cs="Kohinoor Devanagari"/>
          <w:sz w:val="20"/>
          <w:szCs w:val="20"/>
          <w:lang w:eastAsia="fr-FR"/>
        </w:rPr>
        <w:t>.</w:t>
      </w:r>
    </w:p>
    <w:p w14:paraId="179D65C3" w14:textId="77777777" w:rsidR="004E16A7" w:rsidRPr="00112259" w:rsidRDefault="004E16A7" w:rsidP="00CB4D41">
      <w:pPr>
        <w:numPr>
          <w:ilvl w:val="0"/>
          <w:numId w:val="139"/>
        </w:num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14,3</w:t>
      </w:r>
      <w:r w:rsidRPr="00112259">
        <w:rPr>
          <w:rFonts w:ascii="Times New Roman" w:hAnsi="Times New Roman" w:cs="Times New Roman"/>
          <w:b/>
          <w:bCs/>
          <w:sz w:val="20"/>
          <w:szCs w:val="20"/>
          <w:lang w:eastAsia="fr-FR"/>
        </w:rPr>
        <w:t> </w:t>
      </w:r>
      <w:r w:rsidRPr="00112259">
        <w:rPr>
          <w:rFonts w:ascii="Kohinoor Devanagari" w:hAnsi="Kohinoor Devanagari" w:cs="Kohinoor Devanagari"/>
          <w:b/>
          <w:bCs/>
          <w:sz w:val="20"/>
          <w:szCs w:val="20"/>
          <w:lang w:eastAsia="fr-FR"/>
        </w:rPr>
        <w:t>%</w:t>
      </w:r>
      <w:r w:rsidRPr="00112259">
        <w:rPr>
          <w:rFonts w:ascii="Kohinoor Devanagari" w:hAnsi="Kohinoor Devanagari" w:cs="Kohinoor Devanagari"/>
          <w:sz w:val="20"/>
          <w:szCs w:val="20"/>
          <w:lang w:eastAsia="fr-FR"/>
        </w:rPr>
        <w:t xml:space="preserve"> sont familiers des </w:t>
      </w:r>
      <w:r w:rsidRPr="00112259">
        <w:rPr>
          <w:rFonts w:ascii="Kohinoor Devanagari" w:hAnsi="Kohinoor Devanagari" w:cs="Kohinoor Devanagari"/>
          <w:b/>
          <w:bCs/>
          <w:sz w:val="20"/>
          <w:szCs w:val="20"/>
          <w:lang w:eastAsia="fr-FR"/>
        </w:rPr>
        <w:t>API de données</w:t>
      </w:r>
      <w:r w:rsidRPr="00112259">
        <w:rPr>
          <w:rFonts w:ascii="Kohinoor Devanagari" w:hAnsi="Kohinoor Devanagari" w:cs="Kohinoor Devanagari"/>
          <w:sz w:val="20"/>
          <w:szCs w:val="20"/>
          <w:lang w:eastAsia="fr-FR"/>
        </w:rPr>
        <w:t>.</w:t>
      </w:r>
    </w:p>
    <w:p w14:paraId="0C55B0F3" w14:textId="77777777" w:rsidR="004E16A7" w:rsidRPr="00CB4D41" w:rsidRDefault="004E16A7" w:rsidP="00CB4D41">
      <w:pPr>
        <w:spacing w:before="120" w:after="120" w:line="240" w:lineRule="auto"/>
        <w:jc w:val="both"/>
        <w:rPr>
          <w:rFonts w:ascii="Kohinoor Devanagari" w:hAnsi="Kohinoor Devanagari" w:cs="Kohinoor Devanagari"/>
          <w:sz w:val="20"/>
          <w:szCs w:val="20"/>
          <w:lang w:eastAsia="fr-FR"/>
        </w:rPr>
      </w:pPr>
      <w:r w:rsidRPr="00112259">
        <w:rPr>
          <w:rFonts w:ascii="Kohinoor Devanagari" w:hAnsi="Kohinoor Devanagari" w:cs="Kohinoor Devanagari"/>
          <w:b/>
          <w:bCs/>
          <w:sz w:val="20"/>
          <w:szCs w:val="20"/>
          <w:lang w:eastAsia="fr-FR"/>
        </w:rPr>
        <w:t>Analyse</w:t>
      </w:r>
      <w:r w:rsidRPr="00112259">
        <w:rPr>
          <w:rFonts w:ascii="Kohinoor Devanagari" w:hAnsi="Kohinoor Devanagari" w:cs="Kohinoor Devanagari"/>
          <w:sz w:val="20"/>
          <w:szCs w:val="20"/>
          <w:lang w:eastAsia="fr-FR"/>
        </w:rPr>
        <w:t xml:space="preserve"> : Le niveau d’autonomie technique reste limité. Les capacités à exploiter des jeux de données complexes sont encore insuffisamment développées, ce qui restreint les retombées concrètes des efforts de transparence.</w:t>
      </w:r>
    </w:p>
    <w:p w14:paraId="4E721C37" w14:textId="77777777" w:rsidR="004E16A7" w:rsidRPr="00C415D1" w:rsidRDefault="004E16A7" w:rsidP="00CB4D41">
      <w:pPr>
        <w:spacing w:before="120" w:after="120" w:line="240" w:lineRule="auto"/>
        <w:jc w:val="both"/>
        <w:rPr>
          <w:rFonts w:ascii="Kohinoor Devanagari" w:hAnsi="Kohinoor Devanagari" w:cs="Kohinoor Devanagari"/>
          <w:b/>
          <w:bCs/>
          <w:sz w:val="20"/>
          <w:szCs w:val="20"/>
          <w:lang w:eastAsia="fr-FR"/>
        </w:rPr>
      </w:pPr>
      <w:r w:rsidRPr="00C415D1">
        <w:rPr>
          <w:rFonts w:ascii="Kohinoor Devanagari" w:hAnsi="Kohinoor Devanagari" w:cs="Kohinoor Devanagari"/>
          <w:b/>
          <w:bCs/>
          <w:sz w:val="20"/>
          <w:szCs w:val="20"/>
          <w:lang w:eastAsia="fr-FR"/>
        </w:rPr>
        <w:t>(vi) Analyse récapitulative : défis persistants et attentes prioritaires</w:t>
      </w:r>
    </w:p>
    <w:p w14:paraId="0AB13DD4" w14:textId="77777777" w:rsidR="004E16A7" w:rsidRPr="00C415D1" w:rsidRDefault="004E16A7" w:rsidP="00CB4D41">
      <w:p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sz w:val="20"/>
          <w:szCs w:val="20"/>
          <w:lang w:eastAsia="fr-FR"/>
        </w:rPr>
        <w:t>L’analyse des réponses au questionnaire met en évidence à la fois les contraintes actuelles dans l’utilisation des données ITIE et les attentes exprimées pour améliorer la divulgation systématique. Les principales tendances peuvent être regroupées comme suit :</w:t>
      </w:r>
    </w:p>
    <w:p w14:paraId="4C9DAB4E" w14:textId="77777777" w:rsidR="004E16A7" w:rsidRPr="00C415D1" w:rsidRDefault="004E16A7" w:rsidP="00CB4D41">
      <w:pPr>
        <w:spacing w:before="120" w:after="120" w:line="240" w:lineRule="auto"/>
        <w:jc w:val="both"/>
        <w:rPr>
          <w:rFonts w:ascii="Kohinoor Devanagari" w:hAnsi="Kohinoor Devanagari" w:cs="Kohinoor Devanagari"/>
          <w:b/>
          <w:bCs/>
          <w:sz w:val="20"/>
          <w:szCs w:val="20"/>
          <w:lang w:eastAsia="fr-FR"/>
        </w:rPr>
      </w:pPr>
      <w:r w:rsidRPr="00C415D1">
        <w:rPr>
          <w:rFonts w:ascii="Segoe UI Symbol" w:hAnsi="Segoe UI Symbol" w:cs="Segoe UI Symbol"/>
          <w:b/>
          <w:bCs/>
          <w:sz w:val="20"/>
          <w:szCs w:val="20"/>
          <w:lang w:eastAsia="fr-FR"/>
        </w:rPr>
        <w:t>❖</w:t>
      </w:r>
      <w:r w:rsidRPr="00C415D1">
        <w:rPr>
          <w:rFonts w:ascii="Kohinoor Devanagari" w:hAnsi="Kohinoor Devanagari" w:cs="Kohinoor Devanagari"/>
          <w:b/>
          <w:bCs/>
          <w:sz w:val="20"/>
          <w:szCs w:val="20"/>
          <w:lang w:eastAsia="fr-FR"/>
        </w:rPr>
        <w:t xml:space="preserve"> Défis rencontrés par les utilisateurs</w:t>
      </w:r>
    </w:p>
    <w:p w14:paraId="57C1BF81" w14:textId="77777777" w:rsidR="004E16A7" w:rsidRPr="00C415D1" w:rsidRDefault="004E16A7" w:rsidP="00CB4D41">
      <w:pPr>
        <w:numPr>
          <w:ilvl w:val="0"/>
          <w:numId w:val="140"/>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Accessibilité limitée des données</w:t>
      </w:r>
      <w:r w:rsidRPr="00C415D1">
        <w:rPr>
          <w:rFonts w:ascii="Kohinoor Devanagari" w:hAnsi="Kohinoor Devanagari" w:cs="Kohinoor Devanagari"/>
          <w:sz w:val="20"/>
          <w:szCs w:val="20"/>
          <w:lang w:eastAsia="fr-FR"/>
        </w:rPr>
        <w:t xml:space="preserve"> : 61</w:t>
      </w:r>
      <w:r w:rsidRPr="00C415D1">
        <w:rPr>
          <w:rFonts w:ascii="Times New Roman" w:hAnsi="Times New Roman" w:cs="Times New Roman"/>
          <w:sz w:val="20"/>
          <w:szCs w:val="20"/>
          <w:lang w:eastAsia="fr-FR"/>
        </w:rPr>
        <w:t> </w:t>
      </w:r>
      <w:r w:rsidRPr="00C415D1">
        <w:rPr>
          <w:rFonts w:ascii="Kohinoor Devanagari" w:hAnsi="Kohinoor Devanagari" w:cs="Kohinoor Devanagari"/>
          <w:sz w:val="20"/>
          <w:szCs w:val="20"/>
          <w:lang w:eastAsia="fr-FR"/>
        </w:rPr>
        <w:t>% des r</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pondants jugent que les donn</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ITIE ne sont pas facilement accessibles ou suffisamment visibles sur les plateformes officielles (sites gouvernementaux, minist</w:t>
      </w:r>
      <w:r w:rsidRPr="00C415D1">
        <w:rPr>
          <w:rFonts w:ascii="Mangal" w:hAnsi="Mangal" w:cs="Mangal"/>
          <w:sz w:val="20"/>
          <w:szCs w:val="20"/>
          <w:lang w:eastAsia="fr-FR"/>
        </w:rPr>
        <w:t>è</w:t>
      </w:r>
      <w:r w:rsidRPr="00C415D1">
        <w:rPr>
          <w:rFonts w:ascii="Kohinoor Devanagari" w:hAnsi="Kohinoor Devanagari" w:cs="Kohinoor Devanagari"/>
          <w:sz w:val="20"/>
          <w:szCs w:val="20"/>
          <w:lang w:eastAsia="fr-FR"/>
        </w:rPr>
        <w:t>res, entreprises d</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tat).</w:t>
      </w:r>
    </w:p>
    <w:p w14:paraId="3EDC8E7B" w14:textId="77777777" w:rsidR="004E16A7" w:rsidRPr="00C415D1" w:rsidRDefault="004E16A7" w:rsidP="00CB4D41">
      <w:pPr>
        <w:numPr>
          <w:ilvl w:val="0"/>
          <w:numId w:val="140"/>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Fiabilité perçue comme moyenne ou faible</w:t>
      </w:r>
      <w:r w:rsidRPr="00C415D1">
        <w:rPr>
          <w:rFonts w:ascii="Kohinoor Devanagari" w:hAnsi="Kohinoor Devanagari" w:cs="Kohinoor Devanagari"/>
          <w:sz w:val="20"/>
          <w:szCs w:val="20"/>
          <w:lang w:eastAsia="fr-FR"/>
        </w:rPr>
        <w:t xml:space="preserve"> : 48</w:t>
      </w:r>
      <w:r w:rsidRPr="00C415D1">
        <w:rPr>
          <w:rFonts w:ascii="Times New Roman" w:hAnsi="Times New Roman" w:cs="Times New Roman"/>
          <w:sz w:val="20"/>
          <w:szCs w:val="20"/>
          <w:lang w:eastAsia="fr-FR"/>
        </w:rPr>
        <w:t> </w:t>
      </w:r>
      <w:r w:rsidRPr="00C415D1">
        <w:rPr>
          <w:rFonts w:ascii="Kohinoor Devanagari" w:hAnsi="Kohinoor Devanagari" w:cs="Kohinoor Devanagari"/>
          <w:sz w:val="20"/>
          <w:szCs w:val="20"/>
          <w:lang w:eastAsia="fr-FR"/>
        </w:rPr>
        <w:t>% estiment que les donn</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publi</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sont obsol</w:t>
      </w:r>
      <w:r w:rsidRPr="00C415D1">
        <w:rPr>
          <w:rFonts w:ascii="Mangal" w:hAnsi="Mangal" w:cs="Mangal"/>
          <w:sz w:val="20"/>
          <w:szCs w:val="20"/>
          <w:lang w:eastAsia="fr-FR"/>
        </w:rPr>
        <w:t>è</w:t>
      </w:r>
      <w:r w:rsidRPr="00C415D1">
        <w:rPr>
          <w:rFonts w:ascii="Kohinoor Devanagari" w:hAnsi="Kohinoor Devanagari" w:cs="Kohinoor Devanagari"/>
          <w:sz w:val="20"/>
          <w:szCs w:val="20"/>
          <w:lang w:eastAsia="fr-FR"/>
        </w:rPr>
        <w:t>tes, incompl</w:t>
      </w:r>
      <w:r w:rsidRPr="00C415D1">
        <w:rPr>
          <w:rFonts w:ascii="Mangal" w:hAnsi="Mangal" w:cs="Mangal"/>
          <w:sz w:val="20"/>
          <w:szCs w:val="20"/>
          <w:lang w:eastAsia="fr-FR"/>
        </w:rPr>
        <w:t>è</w:t>
      </w:r>
      <w:r w:rsidRPr="00C415D1">
        <w:rPr>
          <w:rFonts w:ascii="Kohinoor Devanagari" w:hAnsi="Kohinoor Devanagari" w:cs="Kohinoor Devanagari"/>
          <w:sz w:val="20"/>
          <w:szCs w:val="20"/>
          <w:lang w:eastAsia="fr-FR"/>
        </w:rPr>
        <w:t xml:space="preserve">tes ou peu fiables, ce qui nuit </w:t>
      </w:r>
      <w:r w:rsidRPr="00C415D1">
        <w:rPr>
          <w:rFonts w:ascii="Mangal" w:hAnsi="Mangal" w:cs="Mangal"/>
          <w:sz w:val="20"/>
          <w:szCs w:val="20"/>
          <w:lang w:eastAsia="fr-FR"/>
        </w:rPr>
        <w:t>à</w:t>
      </w:r>
      <w:r w:rsidRPr="00C415D1">
        <w:rPr>
          <w:rFonts w:ascii="Kohinoor Devanagari" w:hAnsi="Kohinoor Devanagari" w:cs="Kohinoor Devanagari"/>
          <w:sz w:val="20"/>
          <w:szCs w:val="20"/>
          <w:lang w:eastAsia="fr-FR"/>
        </w:rPr>
        <w:t xml:space="preserve"> leur cr</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dibilit</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 xml:space="preserve"> et </w:t>
      </w:r>
      <w:r w:rsidRPr="00C415D1">
        <w:rPr>
          <w:rFonts w:ascii="Mangal" w:hAnsi="Mangal" w:cs="Mangal"/>
          <w:sz w:val="20"/>
          <w:szCs w:val="20"/>
          <w:lang w:eastAsia="fr-FR"/>
        </w:rPr>
        <w:t>à</w:t>
      </w:r>
      <w:r w:rsidRPr="00C415D1">
        <w:rPr>
          <w:rFonts w:ascii="Kohinoor Devanagari" w:hAnsi="Kohinoor Devanagari" w:cs="Kohinoor Devanagari"/>
          <w:sz w:val="20"/>
          <w:szCs w:val="20"/>
          <w:lang w:eastAsia="fr-FR"/>
        </w:rPr>
        <w:t xml:space="preserve"> leur r</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utilisation.</w:t>
      </w:r>
    </w:p>
    <w:p w14:paraId="2E52DDA0" w14:textId="77777777" w:rsidR="004E16A7" w:rsidRPr="00C415D1" w:rsidRDefault="004E16A7" w:rsidP="00CB4D41">
      <w:pPr>
        <w:numPr>
          <w:ilvl w:val="0"/>
          <w:numId w:val="140"/>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Formats peu exploitables</w:t>
      </w:r>
      <w:r w:rsidRPr="00C415D1">
        <w:rPr>
          <w:rFonts w:ascii="Kohinoor Devanagari" w:hAnsi="Kohinoor Devanagari" w:cs="Kohinoor Devanagari"/>
          <w:sz w:val="20"/>
          <w:szCs w:val="20"/>
          <w:lang w:eastAsia="fr-FR"/>
        </w:rPr>
        <w:t xml:space="preserve"> : Près de 50</w:t>
      </w:r>
      <w:r w:rsidRPr="00C415D1">
        <w:rPr>
          <w:rFonts w:ascii="Times New Roman" w:hAnsi="Times New Roman" w:cs="Times New Roman"/>
          <w:sz w:val="20"/>
          <w:szCs w:val="20"/>
          <w:lang w:eastAsia="fr-FR"/>
        </w:rPr>
        <w:t> </w:t>
      </w:r>
      <w:r w:rsidRPr="00C415D1">
        <w:rPr>
          <w:rFonts w:ascii="Kohinoor Devanagari" w:hAnsi="Kohinoor Devanagari" w:cs="Kohinoor Devanagari"/>
          <w:sz w:val="20"/>
          <w:szCs w:val="20"/>
          <w:lang w:eastAsia="fr-FR"/>
        </w:rPr>
        <w:t>% signalent que les formats actuels (PDF, tableaux fig</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s) rendent difficile l</w:t>
      </w:r>
      <w:r w:rsidRPr="00C415D1">
        <w:rPr>
          <w:rFonts w:ascii="Mangal" w:hAnsi="Mangal" w:cs="Mangal"/>
          <w:sz w:val="20"/>
          <w:szCs w:val="20"/>
          <w:lang w:eastAsia="fr-FR"/>
        </w:rPr>
        <w:t>’</w:t>
      </w:r>
      <w:r w:rsidRPr="00C415D1">
        <w:rPr>
          <w:rFonts w:ascii="Kohinoor Devanagari" w:hAnsi="Kohinoor Devanagari" w:cs="Kohinoor Devanagari"/>
          <w:sz w:val="20"/>
          <w:szCs w:val="20"/>
          <w:lang w:eastAsia="fr-FR"/>
        </w:rPr>
        <w:t>exploitation des donn</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pour des analyses, rapports ou activit</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s de plaidoyer.</w:t>
      </w:r>
    </w:p>
    <w:p w14:paraId="3C0D0DE7" w14:textId="77777777" w:rsidR="004E16A7" w:rsidRPr="00C415D1" w:rsidRDefault="004E16A7" w:rsidP="00CB4D41">
      <w:pPr>
        <w:numPr>
          <w:ilvl w:val="0"/>
          <w:numId w:val="140"/>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Usage encore marginal</w:t>
      </w:r>
      <w:r w:rsidRPr="00C415D1">
        <w:rPr>
          <w:rFonts w:ascii="Kohinoor Devanagari" w:hAnsi="Kohinoor Devanagari" w:cs="Kohinoor Devanagari"/>
          <w:sz w:val="20"/>
          <w:szCs w:val="20"/>
          <w:lang w:eastAsia="fr-FR"/>
        </w:rPr>
        <w:t xml:space="preserve"> : Moins de 30</w:t>
      </w:r>
      <w:r w:rsidRPr="00C415D1">
        <w:rPr>
          <w:rFonts w:ascii="Times New Roman" w:hAnsi="Times New Roman" w:cs="Times New Roman"/>
          <w:sz w:val="20"/>
          <w:szCs w:val="20"/>
          <w:lang w:eastAsia="fr-FR"/>
        </w:rPr>
        <w:t> </w:t>
      </w:r>
      <w:r w:rsidRPr="00C415D1">
        <w:rPr>
          <w:rFonts w:ascii="Kohinoor Devanagari" w:hAnsi="Kohinoor Devanagari" w:cs="Kohinoor Devanagari"/>
          <w:sz w:val="20"/>
          <w:szCs w:val="20"/>
          <w:lang w:eastAsia="fr-FR"/>
        </w:rPr>
        <w:t>% des r</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pondants d</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clarent avoir utilis</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 xml:space="preserve"> les donn</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ITIE dans un cadre professionnel ou citoyen au cours des 12 derniers mois.</w:t>
      </w:r>
    </w:p>
    <w:p w14:paraId="5BDB3B65" w14:textId="77777777" w:rsidR="004E16A7" w:rsidRPr="00C415D1" w:rsidRDefault="004E16A7" w:rsidP="00CB4D41">
      <w:pPr>
        <w:numPr>
          <w:ilvl w:val="0"/>
          <w:numId w:val="140"/>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Canaux de diffusion peu adaptés</w:t>
      </w:r>
      <w:r w:rsidRPr="00C415D1">
        <w:rPr>
          <w:rFonts w:ascii="Kohinoor Devanagari" w:hAnsi="Kohinoor Devanagari" w:cs="Kohinoor Devanagari"/>
          <w:sz w:val="20"/>
          <w:szCs w:val="20"/>
          <w:lang w:eastAsia="fr-FR"/>
        </w:rPr>
        <w:t xml:space="preserve"> : Les rapports annuels sont les sources les plus connues, mais restent peu accessibles via des formats numériques ouverts ou des plateformes dynamiques.</w:t>
      </w:r>
    </w:p>
    <w:p w14:paraId="048281CA" w14:textId="77777777" w:rsidR="004E16A7" w:rsidRPr="00C415D1" w:rsidRDefault="004E16A7" w:rsidP="00CB4D41">
      <w:pPr>
        <w:spacing w:before="120" w:after="120" w:line="240" w:lineRule="auto"/>
        <w:jc w:val="both"/>
        <w:rPr>
          <w:rFonts w:ascii="Kohinoor Devanagari" w:hAnsi="Kohinoor Devanagari" w:cs="Kohinoor Devanagari"/>
          <w:b/>
          <w:bCs/>
          <w:sz w:val="20"/>
          <w:szCs w:val="20"/>
          <w:lang w:eastAsia="fr-FR"/>
        </w:rPr>
      </w:pPr>
      <w:r w:rsidRPr="00C415D1">
        <w:rPr>
          <w:rFonts w:ascii="Segoe UI Symbol" w:hAnsi="Segoe UI Symbol" w:cs="Segoe UI Symbol"/>
          <w:b/>
          <w:bCs/>
          <w:sz w:val="20"/>
          <w:szCs w:val="20"/>
          <w:lang w:eastAsia="fr-FR"/>
        </w:rPr>
        <w:t>❖</w:t>
      </w:r>
      <w:r w:rsidRPr="00C415D1">
        <w:rPr>
          <w:rFonts w:ascii="Kohinoor Devanagari" w:hAnsi="Kohinoor Devanagari" w:cs="Kohinoor Devanagari"/>
          <w:b/>
          <w:bCs/>
          <w:sz w:val="20"/>
          <w:szCs w:val="20"/>
          <w:lang w:eastAsia="fr-FR"/>
        </w:rPr>
        <w:t xml:space="preserve"> Attentes exprimées pour une meilleure intégration</w:t>
      </w:r>
    </w:p>
    <w:p w14:paraId="1DB9CBAC" w14:textId="77777777" w:rsidR="004E16A7" w:rsidRPr="00C415D1" w:rsidRDefault="004E16A7" w:rsidP="00CB4D41">
      <w:pPr>
        <w:numPr>
          <w:ilvl w:val="0"/>
          <w:numId w:val="141"/>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Centralisation et automatisation</w:t>
      </w:r>
      <w:r w:rsidRPr="00C415D1">
        <w:rPr>
          <w:rFonts w:ascii="Kohinoor Devanagari" w:hAnsi="Kohinoor Devanagari" w:cs="Kohinoor Devanagari"/>
          <w:sz w:val="20"/>
          <w:szCs w:val="20"/>
          <w:lang w:eastAsia="fr-FR"/>
        </w:rPr>
        <w:t xml:space="preserve"> : 72</w:t>
      </w:r>
      <w:r w:rsidRPr="00C415D1">
        <w:rPr>
          <w:rFonts w:ascii="Times New Roman" w:hAnsi="Times New Roman" w:cs="Times New Roman"/>
          <w:sz w:val="20"/>
          <w:szCs w:val="20"/>
          <w:lang w:eastAsia="fr-FR"/>
        </w:rPr>
        <w:t> </w:t>
      </w:r>
      <w:r w:rsidRPr="00C415D1">
        <w:rPr>
          <w:rFonts w:ascii="Kohinoor Devanagari" w:hAnsi="Kohinoor Devanagari" w:cs="Kohinoor Devanagari"/>
          <w:sz w:val="20"/>
          <w:szCs w:val="20"/>
          <w:lang w:eastAsia="fr-FR"/>
        </w:rPr>
        <w:t>% des r</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pondants souhaitent un portail unique regroupant l</w:t>
      </w:r>
      <w:r w:rsidRPr="00C415D1">
        <w:rPr>
          <w:rFonts w:ascii="Mangal" w:hAnsi="Mangal" w:cs="Mangal"/>
          <w:sz w:val="20"/>
          <w:szCs w:val="20"/>
          <w:lang w:eastAsia="fr-FR"/>
        </w:rPr>
        <w:t>’</w:t>
      </w:r>
      <w:r w:rsidRPr="00C415D1">
        <w:rPr>
          <w:rFonts w:ascii="Kohinoor Devanagari" w:hAnsi="Kohinoor Devanagari" w:cs="Kohinoor Devanagari"/>
          <w:sz w:val="20"/>
          <w:szCs w:val="20"/>
          <w:lang w:eastAsia="fr-FR"/>
        </w:rPr>
        <w:t>ensemble des donn</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ITIE (production, fiscalit</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 environnement, contrats, etc.), accessible en ligne.</w:t>
      </w:r>
    </w:p>
    <w:p w14:paraId="7BC73C2E" w14:textId="77777777" w:rsidR="004E16A7" w:rsidRPr="00C415D1" w:rsidRDefault="004E16A7" w:rsidP="00CB4D41">
      <w:pPr>
        <w:numPr>
          <w:ilvl w:val="0"/>
          <w:numId w:val="141"/>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Formats ouverts et interopérables</w:t>
      </w:r>
      <w:r w:rsidRPr="00C415D1">
        <w:rPr>
          <w:rFonts w:ascii="Kohinoor Devanagari" w:hAnsi="Kohinoor Devanagari" w:cs="Kohinoor Devanagari"/>
          <w:sz w:val="20"/>
          <w:szCs w:val="20"/>
          <w:lang w:eastAsia="fr-FR"/>
        </w:rPr>
        <w:t xml:space="preserve"> : 67</w:t>
      </w:r>
      <w:r w:rsidRPr="00C415D1">
        <w:rPr>
          <w:rFonts w:ascii="Times New Roman" w:hAnsi="Times New Roman" w:cs="Times New Roman"/>
          <w:sz w:val="20"/>
          <w:szCs w:val="20"/>
          <w:lang w:eastAsia="fr-FR"/>
        </w:rPr>
        <w:t> </w:t>
      </w:r>
      <w:r w:rsidRPr="00C415D1">
        <w:rPr>
          <w:rFonts w:ascii="Kohinoor Devanagari" w:hAnsi="Kohinoor Devanagari" w:cs="Kohinoor Devanagari"/>
          <w:sz w:val="20"/>
          <w:szCs w:val="20"/>
          <w:lang w:eastAsia="fr-FR"/>
        </w:rPr>
        <w:t>% demandent la publication des donn</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 dans des formats facilement r</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utilisables (Excel, JSON, etc.) pour permettre des analyses personnalis</w:t>
      </w:r>
      <w:r w:rsidRPr="00C415D1">
        <w:rPr>
          <w:rFonts w:ascii="Mangal" w:hAnsi="Mangal" w:cs="Mangal"/>
          <w:sz w:val="20"/>
          <w:szCs w:val="20"/>
          <w:lang w:eastAsia="fr-FR"/>
        </w:rPr>
        <w:t>é</w:t>
      </w:r>
      <w:r w:rsidRPr="00C415D1">
        <w:rPr>
          <w:rFonts w:ascii="Kohinoor Devanagari" w:hAnsi="Kohinoor Devanagari" w:cs="Kohinoor Devanagari"/>
          <w:sz w:val="20"/>
          <w:szCs w:val="20"/>
          <w:lang w:eastAsia="fr-FR"/>
        </w:rPr>
        <w:t>es.</w:t>
      </w:r>
    </w:p>
    <w:p w14:paraId="255CA17B" w14:textId="77777777" w:rsidR="004E16A7" w:rsidRPr="00C415D1" w:rsidRDefault="004E16A7" w:rsidP="00CB4D41">
      <w:pPr>
        <w:numPr>
          <w:ilvl w:val="0"/>
          <w:numId w:val="141"/>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Actualisation régulière</w:t>
      </w:r>
      <w:r w:rsidRPr="00C415D1">
        <w:rPr>
          <w:rFonts w:ascii="Kohinoor Devanagari" w:hAnsi="Kohinoor Devanagari" w:cs="Kohinoor Devanagari"/>
          <w:sz w:val="20"/>
          <w:szCs w:val="20"/>
          <w:lang w:eastAsia="fr-FR"/>
        </w:rPr>
        <w:t xml:space="preserve"> : Une majorité d’utilisateurs préconise une fréquence de mise à jour trimestrielle ou semestrielle, en remplacement du cycle annuel unique.</w:t>
      </w:r>
    </w:p>
    <w:p w14:paraId="6DABAD65" w14:textId="77777777" w:rsidR="004E16A7" w:rsidRPr="00CB4D41" w:rsidRDefault="004E16A7" w:rsidP="00CB4D41">
      <w:pPr>
        <w:numPr>
          <w:ilvl w:val="0"/>
          <w:numId w:val="141"/>
        </w:num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lastRenderedPageBreak/>
        <w:t>Lisibilité renforcée</w:t>
      </w:r>
      <w:r w:rsidRPr="00C415D1">
        <w:rPr>
          <w:rFonts w:ascii="Kohinoor Devanagari" w:hAnsi="Kohinoor Devanagari" w:cs="Kohinoor Devanagari"/>
          <w:sz w:val="20"/>
          <w:szCs w:val="20"/>
          <w:lang w:eastAsia="fr-FR"/>
        </w:rPr>
        <w:t xml:space="preserve"> : De nombreux répondants appellent à une meilleure vulgarisation des données à travers des supports visuels interactifs (tableaux de bord, cartes, infographies) et des résumés accessibles.</w:t>
      </w:r>
    </w:p>
    <w:p w14:paraId="6085B729" w14:textId="77777777" w:rsidR="00BC2F33" w:rsidRPr="00BC2F33" w:rsidRDefault="00BC2F33" w:rsidP="00CB4D41">
      <w:pPr>
        <w:spacing w:before="120" w:after="120" w:line="240" w:lineRule="auto"/>
        <w:jc w:val="both"/>
        <w:rPr>
          <w:rFonts w:ascii="Kohinoor Devanagari" w:hAnsi="Kohinoor Devanagari" w:cs="Kohinoor Devanagari"/>
          <w:b/>
          <w:bCs/>
          <w:sz w:val="20"/>
          <w:szCs w:val="20"/>
          <w:lang w:eastAsia="fr-FR"/>
        </w:rPr>
      </w:pPr>
      <w:r w:rsidRPr="00BC2F33">
        <w:rPr>
          <w:rFonts w:ascii="Segoe UI Symbol" w:hAnsi="Segoe UI Symbol" w:cs="Segoe UI Symbol"/>
          <w:b/>
          <w:bCs/>
          <w:sz w:val="20"/>
          <w:szCs w:val="20"/>
          <w:lang w:eastAsia="fr-FR"/>
        </w:rPr>
        <w:t>❖</w:t>
      </w:r>
      <w:r w:rsidRPr="00BC2F33">
        <w:rPr>
          <w:rFonts w:ascii="Kohinoor Devanagari" w:hAnsi="Kohinoor Devanagari" w:cs="Kohinoor Devanagari"/>
          <w:b/>
          <w:bCs/>
          <w:sz w:val="20"/>
          <w:szCs w:val="20"/>
          <w:lang w:eastAsia="fr-FR"/>
        </w:rPr>
        <w:t xml:space="preserve"> Opportunités</w:t>
      </w:r>
    </w:p>
    <w:p w14:paraId="04D07BD6" w14:textId="0ADBC72E" w:rsidR="00BC2F33" w:rsidRPr="00BC2F33" w:rsidRDefault="00BC2F33" w:rsidP="00CB4D41">
      <w:pPr>
        <w:numPr>
          <w:ilvl w:val="0"/>
          <w:numId w:val="152"/>
        </w:numPr>
        <w:spacing w:before="120" w:after="120" w:line="240" w:lineRule="auto"/>
        <w:jc w:val="both"/>
        <w:rPr>
          <w:rFonts w:ascii="Kohinoor Devanagari" w:hAnsi="Kohinoor Devanagari" w:cs="Kohinoor Devanagari"/>
          <w:sz w:val="20"/>
          <w:szCs w:val="20"/>
          <w:lang w:eastAsia="fr-FR"/>
        </w:rPr>
      </w:pPr>
      <w:r w:rsidRPr="00BC2F33">
        <w:rPr>
          <w:rFonts w:ascii="Kohinoor Devanagari" w:hAnsi="Kohinoor Devanagari" w:cs="Kohinoor Devanagari"/>
          <w:b/>
          <w:bCs/>
          <w:sz w:val="20"/>
          <w:szCs w:val="20"/>
          <w:lang w:eastAsia="fr-FR"/>
        </w:rPr>
        <w:t>Forte attente sociétale</w:t>
      </w:r>
      <w:r w:rsidRPr="00BC2F33">
        <w:rPr>
          <w:rFonts w:ascii="Kohinoor Devanagari" w:hAnsi="Kohinoor Devanagari" w:cs="Kohinoor Devanagari"/>
          <w:sz w:val="20"/>
          <w:szCs w:val="20"/>
          <w:lang w:eastAsia="fr-FR"/>
        </w:rPr>
        <w:t xml:space="preserve"> : </w:t>
      </w:r>
      <w:r w:rsidR="00EB7717" w:rsidRPr="00CB4D41">
        <w:rPr>
          <w:rFonts w:ascii="Kohinoor Devanagari" w:hAnsi="Kohinoor Devanagari" w:cs="Kohinoor Devanagari"/>
          <w:sz w:val="20"/>
          <w:szCs w:val="20"/>
          <w:lang w:eastAsia="fr-FR"/>
        </w:rPr>
        <w:t>Les OSC</w:t>
      </w:r>
      <w:r w:rsidRPr="00BC2F33">
        <w:rPr>
          <w:rFonts w:ascii="Kohinoor Devanagari" w:hAnsi="Kohinoor Devanagari" w:cs="Kohinoor Devanagari"/>
          <w:sz w:val="20"/>
          <w:szCs w:val="20"/>
          <w:lang w:eastAsia="fr-FR"/>
        </w:rPr>
        <w:t xml:space="preserve"> expriment une demande croissante pour des données fiables, détaillées et accessibles, témoignant d’un intérêt pour le suivi indépendant du secteur extractif.</w:t>
      </w:r>
    </w:p>
    <w:p w14:paraId="4D2B6F59" w14:textId="77777777" w:rsidR="00BC2F33" w:rsidRPr="00BC2F33" w:rsidRDefault="00BC2F33" w:rsidP="00CB4D41">
      <w:pPr>
        <w:numPr>
          <w:ilvl w:val="0"/>
          <w:numId w:val="152"/>
        </w:numPr>
        <w:spacing w:before="120" w:after="120" w:line="240" w:lineRule="auto"/>
        <w:jc w:val="both"/>
        <w:rPr>
          <w:rFonts w:ascii="Kohinoor Devanagari" w:hAnsi="Kohinoor Devanagari" w:cs="Kohinoor Devanagari"/>
          <w:sz w:val="20"/>
          <w:szCs w:val="20"/>
          <w:lang w:eastAsia="fr-FR"/>
        </w:rPr>
      </w:pPr>
      <w:proofErr w:type="spellStart"/>
      <w:r w:rsidRPr="00BC2F33">
        <w:rPr>
          <w:rFonts w:ascii="Kohinoor Devanagari" w:hAnsi="Kohinoor Devanagari" w:cs="Kohinoor Devanagari"/>
          <w:b/>
          <w:bCs/>
          <w:sz w:val="20"/>
          <w:szCs w:val="20"/>
          <w:lang w:eastAsia="fr-FR"/>
        </w:rPr>
        <w:t>Existance</w:t>
      </w:r>
      <w:proofErr w:type="spellEnd"/>
      <w:r w:rsidRPr="00BC2F33">
        <w:rPr>
          <w:rFonts w:ascii="Kohinoor Devanagari" w:hAnsi="Kohinoor Devanagari" w:cs="Kohinoor Devanagari"/>
          <w:b/>
          <w:bCs/>
          <w:sz w:val="20"/>
          <w:szCs w:val="20"/>
          <w:lang w:eastAsia="fr-FR"/>
        </w:rPr>
        <w:t xml:space="preserve"> de plateformes existantes</w:t>
      </w:r>
      <w:r w:rsidRPr="00BC2F33">
        <w:rPr>
          <w:rFonts w:ascii="Kohinoor Devanagari" w:hAnsi="Kohinoor Devanagari" w:cs="Kohinoor Devanagari"/>
          <w:sz w:val="20"/>
          <w:szCs w:val="20"/>
          <w:lang w:eastAsia="fr-FR"/>
        </w:rPr>
        <w:t xml:space="preserve"> : Des bases sont déjà en place (cadastre minier, portails open data, sites d’entreprises publiques), qui peuvent être améliorées ou interconnectées pour soutenir la publication systématique.</w:t>
      </w:r>
    </w:p>
    <w:p w14:paraId="165B826D" w14:textId="1366B196" w:rsidR="00BC2F33" w:rsidRPr="00BC2F33" w:rsidRDefault="00BC2F33" w:rsidP="00CB4D41">
      <w:pPr>
        <w:numPr>
          <w:ilvl w:val="0"/>
          <w:numId w:val="152"/>
        </w:numPr>
        <w:spacing w:before="120" w:after="120" w:line="240" w:lineRule="auto"/>
        <w:jc w:val="both"/>
        <w:rPr>
          <w:rFonts w:ascii="Kohinoor Devanagari" w:hAnsi="Kohinoor Devanagari" w:cs="Kohinoor Devanagari"/>
          <w:sz w:val="20"/>
          <w:szCs w:val="20"/>
          <w:lang w:eastAsia="fr-FR"/>
        </w:rPr>
      </w:pPr>
      <w:r w:rsidRPr="00BC2F33">
        <w:rPr>
          <w:rFonts w:ascii="Kohinoor Devanagari" w:hAnsi="Kohinoor Devanagari" w:cs="Kohinoor Devanagari"/>
          <w:b/>
          <w:bCs/>
          <w:sz w:val="20"/>
          <w:szCs w:val="20"/>
          <w:lang w:eastAsia="fr-FR"/>
        </w:rPr>
        <w:t>Alignement avec la Norme ITIE 2023</w:t>
      </w:r>
      <w:r w:rsidRPr="00BC2F33">
        <w:rPr>
          <w:rFonts w:ascii="Kohinoor Devanagari" w:hAnsi="Kohinoor Devanagari" w:cs="Kohinoor Devanagari"/>
          <w:sz w:val="20"/>
          <w:szCs w:val="20"/>
          <w:lang w:eastAsia="fr-FR"/>
        </w:rPr>
        <w:t xml:space="preserve"> : Les nouvelles exigences offrent un levier stratégique pour inscrire la transparence dans les systèmes nationaux.</w:t>
      </w:r>
    </w:p>
    <w:p w14:paraId="5E99E383" w14:textId="77777777" w:rsidR="00BC2F33" w:rsidRPr="00BC2F33" w:rsidRDefault="00BC2F33" w:rsidP="00CB4D41">
      <w:pPr>
        <w:numPr>
          <w:ilvl w:val="0"/>
          <w:numId w:val="152"/>
        </w:numPr>
        <w:spacing w:before="120" w:after="120" w:line="240" w:lineRule="auto"/>
        <w:jc w:val="both"/>
        <w:rPr>
          <w:rFonts w:ascii="Kohinoor Devanagari" w:hAnsi="Kohinoor Devanagari" w:cs="Kohinoor Devanagari"/>
          <w:sz w:val="20"/>
          <w:szCs w:val="20"/>
          <w:lang w:eastAsia="fr-FR"/>
        </w:rPr>
      </w:pPr>
      <w:r w:rsidRPr="00BC2F33">
        <w:rPr>
          <w:rFonts w:ascii="Kohinoor Devanagari" w:hAnsi="Kohinoor Devanagari" w:cs="Kohinoor Devanagari"/>
          <w:b/>
          <w:bCs/>
          <w:sz w:val="20"/>
          <w:szCs w:val="20"/>
          <w:lang w:eastAsia="fr-FR"/>
        </w:rPr>
        <w:t>Renforcement de la redevabilité publique</w:t>
      </w:r>
      <w:r w:rsidRPr="00BC2F33">
        <w:rPr>
          <w:rFonts w:ascii="Kohinoor Devanagari" w:hAnsi="Kohinoor Devanagari" w:cs="Kohinoor Devanagari"/>
          <w:sz w:val="20"/>
          <w:szCs w:val="20"/>
          <w:lang w:eastAsia="fr-FR"/>
        </w:rPr>
        <w:t xml:space="preserve"> : L’amélioration de la transparence facilite le contrôle citoyen, réduit les risques de mauvaise gouvernance et améliore la confiance entre l’État, les entreprises et les citoyens.</w:t>
      </w:r>
    </w:p>
    <w:p w14:paraId="50BA096E" w14:textId="33DDF4D3" w:rsidR="00BC2F33" w:rsidRPr="00BC2F33" w:rsidRDefault="00BC2F33" w:rsidP="00CB4D41">
      <w:pPr>
        <w:numPr>
          <w:ilvl w:val="0"/>
          <w:numId w:val="152"/>
        </w:numPr>
        <w:spacing w:before="120" w:after="120" w:line="240" w:lineRule="auto"/>
        <w:jc w:val="both"/>
        <w:rPr>
          <w:rFonts w:ascii="Kohinoor Devanagari" w:hAnsi="Kohinoor Devanagari" w:cs="Kohinoor Devanagari"/>
          <w:sz w:val="20"/>
          <w:szCs w:val="20"/>
          <w:lang w:eastAsia="fr-FR"/>
        </w:rPr>
      </w:pPr>
      <w:r w:rsidRPr="00BC2F33">
        <w:rPr>
          <w:rFonts w:ascii="Kohinoor Devanagari" w:hAnsi="Kohinoor Devanagari" w:cs="Kohinoor Devanagari"/>
          <w:b/>
          <w:bCs/>
          <w:sz w:val="20"/>
          <w:szCs w:val="20"/>
          <w:lang w:eastAsia="fr-FR"/>
        </w:rPr>
        <w:t>Synergies intersectorielles</w:t>
      </w:r>
      <w:r w:rsidRPr="00BC2F33">
        <w:rPr>
          <w:rFonts w:ascii="Kohinoor Devanagari" w:hAnsi="Kohinoor Devanagari" w:cs="Kohinoor Devanagari"/>
          <w:sz w:val="20"/>
          <w:szCs w:val="20"/>
          <w:lang w:eastAsia="fr-FR"/>
        </w:rPr>
        <w:t xml:space="preserve"> : L’intégration de l’ITIE aux initiatives</w:t>
      </w:r>
      <w:r w:rsidR="00A33598" w:rsidRPr="00CB4D41">
        <w:rPr>
          <w:rFonts w:ascii="Kohinoor Devanagari" w:hAnsi="Kohinoor Devanagari" w:cs="Kohinoor Devanagari"/>
          <w:sz w:val="20"/>
          <w:szCs w:val="20"/>
          <w:lang w:eastAsia="fr-FR"/>
        </w:rPr>
        <w:t xml:space="preserve"> telles que</w:t>
      </w:r>
      <w:r w:rsidRPr="00BC2F33">
        <w:rPr>
          <w:rFonts w:ascii="Kohinoor Devanagari" w:hAnsi="Kohinoor Devanagari" w:cs="Kohinoor Devanagari"/>
          <w:sz w:val="20"/>
          <w:szCs w:val="20"/>
          <w:lang w:eastAsia="fr-FR"/>
        </w:rPr>
        <w:t xml:space="preserve"> la budgétisation ouverte, les réformes fiscales ou les politiques environnementales crée des effets d’entraînement bénéfiques à l’échelle nationale.</w:t>
      </w:r>
    </w:p>
    <w:p w14:paraId="6E27E0FE" w14:textId="77777777" w:rsidR="004E16A7" w:rsidRPr="00C415D1" w:rsidRDefault="004E16A7" w:rsidP="00CB4D41">
      <w:pPr>
        <w:spacing w:before="120" w:after="120" w:line="240" w:lineRule="auto"/>
        <w:jc w:val="both"/>
        <w:rPr>
          <w:rFonts w:ascii="Kohinoor Devanagari" w:hAnsi="Kohinoor Devanagari" w:cs="Kohinoor Devanagari"/>
          <w:sz w:val="20"/>
          <w:szCs w:val="20"/>
          <w:lang w:eastAsia="fr-FR"/>
        </w:rPr>
      </w:pPr>
      <w:r w:rsidRPr="00C415D1">
        <w:rPr>
          <w:rFonts w:ascii="Kohinoor Devanagari" w:hAnsi="Kohinoor Devanagari" w:cs="Kohinoor Devanagari"/>
          <w:b/>
          <w:bCs/>
          <w:sz w:val="20"/>
          <w:szCs w:val="20"/>
          <w:lang w:eastAsia="fr-FR"/>
        </w:rPr>
        <w:t>Conclusion</w:t>
      </w:r>
      <w:r w:rsidRPr="00C415D1">
        <w:rPr>
          <w:rFonts w:ascii="Kohinoor Devanagari" w:hAnsi="Kohinoor Devanagari" w:cs="Kohinoor Devanagari"/>
          <w:sz w:val="20"/>
          <w:szCs w:val="20"/>
          <w:lang w:eastAsia="fr-FR"/>
        </w:rPr>
        <w:t xml:space="preserve"> : Ces résultats illustrent des besoins clairs en matière de visibilité, de qualité et de réutilisation des données ITIE. Ils plaident pour une approche intégrée combinant digitalisation, accessibilité, renforcement des capacités et inclusion. Les recommandations proposées dans la section suivante visent à répondre concrètement à ces attentes et à consolider la mise en œuvre de la divulgation systématique au Cameroun.</w:t>
      </w:r>
    </w:p>
    <w:p w14:paraId="6B18AA9C" w14:textId="65B89207" w:rsidR="00EC6028" w:rsidRPr="00CB4D41" w:rsidRDefault="00EC6028" w:rsidP="00CB4D41">
      <w:pPr>
        <w:pStyle w:val="Titre2"/>
        <w:numPr>
          <w:ilvl w:val="1"/>
          <w:numId w:val="8"/>
        </w:numPr>
        <w:shd w:val="clear" w:color="auto" w:fill="FFFFFF" w:themeFill="background1"/>
        <w:spacing w:before="120" w:after="120" w:line="240" w:lineRule="auto"/>
        <w:jc w:val="both"/>
        <w:rPr>
          <w:rFonts w:ascii="Kohinoor Devanagari" w:eastAsia="Times New Roman" w:hAnsi="Kohinoor Devanagari" w:cs="Kohinoor Devanagari"/>
          <w:b/>
          <w:bCs/>
          <w:color w:val="000000" w:themeColor="text1"/>
          <w:sz w:val="20"/>
          <w:szCs w:val="20"/>
          <w:lang w:eastAsia="fr-FR"/>
        </w:rPr>
      </w:pPr>
      <w:bookmarkStart w:id="35" w:name="_Toc204691622"/>
      <w:r w:rsidRPr="00CB4D41">
        <w:rPr>
          <w:rFonts w:ascii="Kohinoor Devanagari" w:eastAsia="Times New Roman" w:hAnsi="Kohinoor Devanagari" w:cs="Kohinoor Devanagari"/>
          <w:b/>
          <w:bCs/>
          <w:color w:val="000000" w:themeColor="text1"/>
          <w:sz w:val="20"/>
          <w:szCs w:val="20"/>
          <w:lang w:eastAsia="fr-FR"/>
        </w:rPr>
        <w:t>Recommandations opérationnelles issues de l’enquête</w:t>
      </w:r>
      <w:bookmarkEnd w:id="35"/>
    </w:p>
    <w:p w14:paraId="526E0E4D" w14:textId="577EBB85" w:rsidR="00EC6028" w:rsidRPr="00CB4D41" w:rsidRDefault="00F07307" w:rsidP="00CB4D41">
      <w:pPr>
        <w:spacing w:before="120" w:after="120" w:line="240" w:lineRule="auto"/>
        <w:jc w:val="both"/>
        <w:rPr>
          <w:rFonts w:ascii="Kohinoor Devanagari" w:hAnsi="Kohinoor Devanagari" w:cs="Kohinoor Devanagari"/>
          <w:sz w:val="20"/>
          <w:szCs w:val="20"/>
          <w:lang w:eastAsia="fr-FR"/>
        </w:rPr>
      </w:pPr>
      <w:r w:rsidRPr="00CB4D41">
        <w:rPr>
          <w:rFonts w:ascii="Kohinoor Devanagari" w:hAnsi="Kohinoor Devanagari" w:cs="Kohinoor Devanagari"/>
          <w:sz w:val="20"/>
          <w:szCs w:val="20"/>
          <w:lang w:eastAsia="fr-FR"/>
        </w:rPr>
        <w:t xml:space="preserve">L’analyse des réponses aux questionnaires a permis d’identifier un ensemble de mesures concrètes susceptibles d’améliorer la mise en œuvre de la divulgation systématique au Cameroun. Ces recommandations, structurées selon deux catégories d’acteurs – producteurs et utilisateurs de données – traduisent les attentes prioritaires exprimées et les </w:t>
      </w:r>
      <w:proofErr w:type="gramStart"/>
      <w:r w:rsidRPr="00CB4D41">
        <w:rPr>
          <w:rFonts w:ascii="Kohinoor Devanagari" w:hAnsi="Kohinoor Devanagari" w:cs="Kohinoor Devanagari"/>
          <w:sz w:val="20"/>
          <w:szCs w:val="20"/>
          <w:lang w:eastAsia="fr-FR"/>
        </w:rPr>
        <w:t>opportunités à saisir</w:t>
      </w:r>
      <w:proofErr w:type="gramEnd"/>
      <w:r w:rsidRPr="00CB4D41">
        <w:rPr>
          <w:rFonts w:ascii="Kohinoor Devanagari" w:hAnsi="Kohinoor Devanagari" w:cs="Kohinoor Devanagari"/>
          <w:sz w:val="20"/>
          <w:szCs w:val="20"/>
          <w:lang w:eastAsia="fr-FR"/>
        </w:rPr>
        <w:t xml:space="preserve"> à court et moyen terme.</w:t>
      </w:r>
    </w:p>
    <w:p w14:paraId="7A8C0035" w14:textId="77777777" w:rsidR="00CB4D41" w:rsidRPr="00CB4D41" w:rsidRDefault="00CB4D41" w:rsidP="00CB4D41">
      <w:pPr>
        <w:spacing w:before="120" w:after="120" w:line="240" w:lineRule="auto"/>
        <w:rPr>
          <w:rFonts w:ascii="Kohinoor Devanagari" w:hAnsi="Kohinoor Devanagari" w:cs="Kohinoor Devanagari"/>
          <w:b/>
          <w:bCs/>
          <w:sz w:val="20"/>
          <w:szCs w:val="20"/>
          <w:lang w:eastAsia="fr-FR"/>
        </w:rPr>
      </w:pPr>
      <w:r w:rsidRPr="00CB4D41">
        <w:rPr>
          <w:rFonts w:ascii="Kohinoor Devanagari" w:hAnsi="Kohinoor Devanagari" w:cs="Kohinoor Devanagari"/>
          <w:b/>
          <w:bCs/>
          <w:sz w:val="20"/>
          <w:szCs w:val="20"/>
          <w:lang w:eastAsia="fr-FR"/>
        </w:rPr>
        <w:br w:type="page"/>
      </w:r>
    </w:p>
    <w:p w14:paraId="0790E733" w14:textId="7B25F745" w:rsidR="00DC31D6" w:rsidRPr="00DC31D6" w:rsidRDefault="00DC31D6" w:rsidP="00CB4D41">
      <w:pPr>
        <w:spacing w:before="120" w:after="120" w:line="240" w:lineRule="auto"/>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lastRenderedPageBreak/>
        <w:t>(i) Recommandations à l’intention des producteurs de données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3"/>
        <w:gridCol w:w="3988"/>
        <w:gridCol w:w="1052"/>
        <w:gridCol w:w="1855"/>
      </w:tblGrid>
      <w:tr w:rsidR="002C1C1B" w:rsidRPr="009B3188" w14:paraId="488C91E6" w14:textId="77777777" w:rsidTr="002C1C1B">
        <w:trPr>
          <w:tblHeader/>
        </w:trPr>
        <w:tc>
          <w:tcPr>
            <w:tcW w:w="0" w:type="auto"/>
            <w:shd w:val="clear" w:color="auto" w:fill="47626F"/>
            <w:hideMark/>
          </w:tcPr>
          <w:p w14:paraId="5D023E35" w14:textId="77777777" w:rsidR="00DC31D6" w:rsidRPr="00DC31D6" w:rsidRDefault="00DC31D6" w:rsidP="002C1C1B">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Axe stratégique</w:t>
            </w:r>
          </w:p>
        </w:tc>
        <w:tc>
          <w:tcPr>
            <w:tcW w:w="0" w:type="auto"/>
            <w:shd w:val="clear" w:color="auto" w:fill="47626F"/>
            <w:hideMark/>
          </w:tcPr>
          <w:p w14:paraId="3A195750" w14:textId="77777777" w:rsidR="00DC31D6" w:rsidRPr="00DC31D6" w:rsidRDefault="00DC31D6" w:rsidP="002C1C1B">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Recommandation</w:t>
            </w:r>
          </w:p>
        </w:tc>
        <w:tc>
          <w:tcPr>
            <w:tcW w:w="0" w:type="auto"/>
            <w:shd w:val="clear" w:color="auto" w:fill="47626F"/>
            <w:hideMark/>
          </w:tcPr>
          <w:p w14:paraId="79376CA7" w14:textId="77777777" w:rsidR="00DC31D6" w:rsidRPr="00DC31D6" w:rsidRDefault="00DC31D6" w:rsidP="002C1C1B">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Horizon</w:t>
            </w:r>
          </w:p>
        </w:tc>
        <w:tc>
          <w:tcPr>
            <w:tcW w:w="0" w:type="auto"/>
            <w:shd w:val="clear" w:color="auto" w:fill="47626F"/>
            <w:hideMark/>
          </w:tcPr>
          <w:p w14:paraId="5E5045A4" w14:textId="77777777" w:rsidR="00DC31D6" w:rsidRPr="00DC31D6" w:rsidRDefault="00DC31D6" w:rsidP="002C1C1B">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Acteurs clés</w:t>
            </w:r>
          </w:p>
        </w:tc>
      </w:tr>
      <w:tr w:rsidR="007D5ED0" w:rsidRPr="009B3188" w14:paraId="53D985BD" w14:textId="77777777" w:rsidTr="00DC31D6">
        <w:tc>
          <w:tcPr>
            <w:tcW w:w="0" w:type="auto"/>
            <w:hideMark/>
          </w:tcPr>
          <w:p w14:paraId="53C5FEEB" w14:textId="77777777" w:rsidR="00DC31D6" w:rsidRPr="00DC31D6" w:rsidRDefault="00DC31D6" w:rsidP="002C1C1B">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1. Cadre politique</w:t>
            </w:r>
          </w:p>
        </w:tc>
        <w:tc>
          <w:tcPr>
            <w:tcW w:w="0" w:type="auto"/>
            <w:hideMark/>
          </w:tcPr>
          <w:p w14:paraId="6DD15975"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Élaborer une politique nationale ou directive interministérielle sur la divulgation systématique (obligations, périmètre, formats)</w:t>
            </w:r>
          </w:p>
        </w:tc>
        <w:tc>
          <w:tcPr>
            <w:tcW w:w="0" w:type="auto"/>
            <w:hideMark/>
          </w:tcPr>
          <w:p w14:paraId="1361C06A"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hideMark/>
          </w:tcPr>
          <w:p w14:paraId="281F4CFE" w14:textId="0E21B3C2" w:rsidR="00DC31D6" w:rsidRPr="00DC31D6" w:rsidRDefault="003A6EE6" w:rsidP="002C1C1B">
            <w:pPr>
              <w:spacing w:before="40" w:after="40"/>
              <w:rPr>
                <w:rFonts w:ascii="Kohinoor Devanagari" w:hAnsi="Kohinoor Devanagari" w:cs="Kohinoor Devanagari"/>
                <w:sz w:val="20"/>
                <w:szCs w:val="20"/>
                <w:lang w:eastAsia="fr-FR"/>
              </w:rPr>
            </w:pPr>
            <w:r w:rsidRPr="00CB4D41">
              <w:rPr>
                <w:rFonts w:ascii="Kohinoor Devanagari" w:hAnsi="Kohinoor Devanagari" w:cs="Kohinoor Devanagari"/>
                <w:sz w:val="20"/>
                <w:szCs w:val="20"/>
                <w:lang w:eastAsia="fr-FR"/>
              </w:rPr>
              <w:t xml:space="preserve">Comité </w:t>
            </w:r>
            <w:r w:rsidR="002810ED" w:rsidRPr="00CB4D41">
              <w:rPr>
                <w:rFonts w:ascii="Kohinoor Devanagari" w:hAnsi="Kohinoor Devanagari" w:cs="Kohinoor Devanagari"/>
                <w:sz w:val="20"/>
                <w:szCs w:val="20"/>
                <w:lang w:eastAsia="fr-FR"/>
              </w:rPr>
              <w:t>ITIE</w:t>
            </w:r>
            <w:r w:rsidR="00DC31D6" w:rsidRPr="00DC31D6">
              <w:rPr>
                <w:rFonts w:ascii="Kohinoor Devanagari" w:hAnsi="Kohinoor Devanagari" w:cs="Kohinoor Devanagari"/>
                <w:sz w:val="20"/>
                <w:szCs w:val="20"/>
                <w:lang w:eastAsia="fr-FR"/>
              </w:rPr>
              <w:t>, MINFI, MINMIDT, MINEPDED</w:t>
            </w:r>
          </w:p>
        </w:tc>
      </w:tr>
      <w:tr w:rsidR="007D5ED0" w:rsidRPr="009B3188" w14:paraId="56F11B52" w14:textId="77777777" w:rsidTr="002C1C1B">
        <w:tc>
          <w:tcPr>
            <w:tcW w:w="0" w:type="auto"/>
            <w:shd w:val="clear" w:color="auto" w:fill="E2EFD9" w:themeFill="accent6" w:themeFillTint="33"/>
            <w:hideMark/>
          </w:tcPr>
          <w:p w14:paraId="5AEC78DA" w14:textId="77777777" w:rsidR="00DC31D6" w:rsidRPr="00DC31D6" w:rsidRDefault="00DC31D6" w:rsidP="002C1C1B">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2. Standardisation des données</w:t>
            </w:r>
          </w:p>
        </w:tc>
        <w:tc>
          <w:tcPr>
            <w:tcW w:w="0" w:type="auto"/>
            <w:shd w:val="clear" w:color="auto" w:fill="E2EFD9" w:themeFill="accent6" w:themeFillTint="33"/>
            <w:hideMark/>
          </w:tcPr>
          <w:p w14:paraId="3CE53131"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Développer des modèles normalisés de collecte, de traitement et de publication des données extractives (formats ouverts, métadonnées)</w:t>
            </w:r>
          </w:p>
        </w:tc>
        <w:tc>
          <w:tcPr>
            <w:tcW w:w="0" w:type="auto"/>
            <w:shd w:val="clear" w:color="auto" w:fill="E2EFD9" w:themeFill="accent6" w:themeFillTint="33"/>
            <w:hideMark/>
          </w:tcPr>
          <w:p w14:paraId="3F9CF127"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shd w:val="clear" w:color="auto" w:fill="E2EFD9" w:themeFill="accent6" w:themeFillTint="33"/>
            <w:hideMark/>
          </w:tcPr>
          <w:p w14:paraId="02DC4288" w14:textId="5F8E27BD"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 xml:space="preserve">SP ITIE, </w:t>
            </w:r>
            <w:r w:rsidR="002810ED" w:rsidRPr="00CB4D41">
              <w:rPr>
                <w:rFonts w:ascii="Kohinoor Devanagari" w:hAnsi="Kohinoor Devanagari" w:cs="Kohinoor Devanagari"/>
                <w:sz w:val="20"/>
                <w:szCs w:val="20"/>
                <w:lang w:eastAsia="fr-FR"/>
              </w:rPr>
              <w:t>Comité ITIE</w:t>
            </w:r>
          </w:p>
        </w:tc>
      </w:tr>
      <w:tr w:rsidR="007D5ED0" w:rsidRPr="009B3188" w14:paraId="247118BC" w14:textId="77777777" w:rsidTr="00DC31D6">
        <w:tc>
          <w:tcPr>
            <w:tcW w:w="0" w:type="auto"/>
            <w:hideMark/>
          </w:tcPr>
          <w:p w14:paraId="7AB1F04E" w14:textId="77777777" w:rsidR="004450D2" w:rsidRPr="00DC31D6" w:rsidRDefault="004450D2" w:rsidP="004450D2">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3. Portail centralisé</w:t>
            </w:r>
          </w:p>
        </w:tc>
        <w:tc>
          <w:tcPr>
            <w:tcW w:w="0" w:type="auto"/>
            <w:hideMark/>
          </w:tcPr>
          <w:p w14:paraId="175CD72D" w14:textId="77777777" w:rsidR="004450D2" w:rsidRPr="00DC31D6" w:rsidRDefault="004450D2" w:rsidP="004450D2">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Créer une plateforme interopérable centralisant les données ITIE, connectée aux systèmes ministériels (cadastre, finances, environnement)</w:t>
            </w:r>
          </w:p>
        </w:tc>
        <w:tc>
          <w:tcPr>
            <w:tcW w:w="0" w:type="auto"/>
            <w:hideMark/>
          </w:tcPr>
          <w:p w14:paraId="5FB7901E" w14:textId="77777777" w:rsidR="004450D2" w:rsidRPr="00DC31D6" w:rsidRDefault="004450D2" w:rsidP="004450D2">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Moyen terme</w:t>
            </w:r>
          </w:p>
        </w:tc>
        <w:tc>
          <w:tcPr>
            <w:tcW w:w="0" w:type="auto"/>
            <w:hideMark/>
          </w:tcPr>
          <w:p w14:paraId="2020C6A3" w14:textId="4FDFE876" w:rsidR="004450D2" w:rsidRPr="00DC31D6" w:rsidRDefault="004450D2" w:rsidP="004450D2">
            <w:pPr>
              <w:spacing w:before="40" w:after="40"/>
              <w:rPr>
                <w:rFonts w:ascii="Kohinoor Devanagari" w:hAnsi="Kohinoor Devanagari" w:cs="Kohinoor Devanagari"/>
                <w:sz w:val="20"/>
                <w:szCs w:val="20"/>
                <w:lang w:eastAsia="fr-FR"/>
              </w:rPr>
            </w:pPr>
            <w:r w:rsidRPr="00CB4D41">
              <w:rPr>
                <w:rFonts w:ascii="Kohinoor Devanagari" w:hAnsi="Kohinoor Devanagari" w:cs="Kohinoor Devanagari"/>
                <w:sz w:val="20"/>
                <w:szCs w:val="20"/>
                <w:lang w:eastAsia="fr-FR"/>
              </w:rPr>
              <w:t>Comité ITIE, MINFI, MINMIDT</w:t>
            </w:r>
          </w:p>
        </w:tc>
      </w:tr>
      <w:tr w:rsidR="007D5ED0" w:rsidRPr="009B3188" w14:paraId="73A59055" w14:textId="77777777" w:rsidTr="002C1C1B">
        <w:tc>
          <w:tcPr>
            <w:tcW w:w="0" w:type="auto"/>
            <w:shd w:val="clear" w:color="auto" w:fill="E2EFD9" w:themeFill="accent6" w:themeFillTint="33"/>
            <w:hideMark/>
          </w:tcPr>
          <w:p w14:paraId="21CE9CA5" w14:textId="77777777" w:rsidR="00DC31D6" w:rsidRPr="00DC31D6" w:rsidRDefault="00DC31D6" w:rsidP="002C1C1B">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4. Renforcement de capacités</w:t>
            </w:r>
          </w:p>
        </w:tc>
        <w:tc>
          <w:tcPr>
            <w:tcW w:w="0" w:type="auto"/>
            <w:shd w:val="clear" w:color="auto" w:fill="E2EFD9" w:themeFill="accent6" w:themeFillTint="33"/>
            <w:hideMark/>
          </w:tcPr>
          <w:p w14:paraId="0E5C3033"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Organiser des formations techniques sur les formats ouverts, les standards ITIE et les outils de traitement des données</w:t>
            </w:r>
          </w:p>
        </w:tc>
        <w:tc>
          <w:tcPr>
            <w:tcW w:w="0" w:type="auto"/>
            <w:shd w:val="clear" w:color="auto" w:fill="E2EFD9" w:themeFill="accent6" w:themeFillTint="33"/>
            <w:hideMark/>
          </w:tcPr>
          <w:p w14:paraId="01B1C83B"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shd w:val="clear" w:color="auto" w:fill="E2EFD9" w:themeFill="accent6" w:themeFillTint="33"/>
            <w:hideMark/>
          </w:tcPr>
          <w:p w14:paraId="1C5B3FA6" w14:textId="32935251"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 xml:space="preserve">STP ITIE, </w:t>
            </w:r>
            <w:r w:rsidR="009F0B8E" w:rsidRPr="00CB4D41">
              <w:rPr>
                <w:rFonts w:ascii="Kohinoor Devanagari" w:hAnsi="Kohinoor Devanagari" w:cs="Kohinoor Devanagari"/>
                <w:sz w:val="20"/>
                <w:szCs w:val="20"/>
                <w:lang w:eastAsia="fr-FR"/>
              </w:rPr>
              <w:t>Comité ITIE</w:t>
            </w:r>
          </w:p>
        </w:tc>
      </w:tr>
      <w:tr w:rsidR="007D5ED0" w:rsidRPr="009B3188" w14:paraId="5E67D1F1" w14:textId="77777777" w:rsidTr="00DC31D6">
        <w:tc>
          <w:tcPr>
            <w:tcW w:w="0" w:type="auto"/>
            <w:hideMark/>
          </w:tcPr>
          <w:p w14:paraId="319EF33B" w14:textId="77777777" w:rsidR="00DC31D6" w:rsidRPr="00DC31D6" w:rsidRDefault="00DC31D6" w:rsidP="002C1C1B">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5. Intégration dans les dispositifs de suivi</w:t>
            </w:r>
          </w:p>
        </w:tc>
        <w:tc>
          <w:tcPr>
            <w:tcW w:w="0" w:type="auto"/>
            <w:hideMark/>
          </w:tcPr>
          <w:p w14:paraId="39E5FD12"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Intégrer des indicateurs de performance liés à la transparence dans les plans d’action, lettres de mission ou budgets-programmes</w:t>
            </w:r>
          </w:p>
        </w:tc>
        <w:tc>
          <w:tcPr>
            <w:tcW w:w="0" w:type="auto"/>
            <w:hideMark/>
          </w:tcPr>
          <w:p w14:paraId="472A5ED3"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Moyen terme</w:t>
            </w:r>
          </w:p>
        </w:tc>
        <w:tc>
          <w:tcPr>
            <w:tcW w:w="0" w:type="auto"/>
            <w:hideMark/>
          </w:tcPr>
          <w:p w14:paraId="3F84A2D6" w14:textId="1513F444" w:rsidR="00DC31D6" w:rsidRPr="00DC31D6" w:rsidRDefault="007D5ED0" w:rsidP="002C1C1B">
            <w:pPr>
              <w:spacing w:before="40" w:after="40"/>
              <w:rPr>
                <w:rFonts w:ascii="Kohinoor Devanagari" w:hAnsi="Kohinoor Devanagari" w:cs="Kohinoor Devanagari"/>
                <w:sz w:val="20"/>
                <w:szCs w:val="20"/>
                <w:lang w:eastAsia="fr-FR"/>
              </w:rPr>
            </w:pPr>
            <w:r w:rsidRPr="00CB4D41">
              <w:rPr>
                <w:rFonts w:ascii="Kohinoor Devanagari" w:hAnsi="Kohinoor Devanagari" w:cs="Kohinoor Devanagari"/>
                <w:sz w:val="20"/>
                <w:szCs w:val="20"/>
                <w:lang w:eastAsia="fr-FR"/>
              </w:rPr>
              <w:t>MINFI, MINMIDT, Entreprises publiques</w:t>
            </w:r>
          </w:p>
        </w:tc>
      </w:tr>
      <w:tr w:rsidR="007D5ED0" w:rsidRPr="009B3188" w14:paraId="42B94B61" w14:textId="77777777" w:rsidTr="002C1C1B">
        <w:tc>
          <w:tcPr>
            <w:tcW w:w="0" w:type="auto"/>
            <w:shd w:val="clear" w:color="auto" w:fill="E2EFD9" w:themeFill="accent6" w:themeFillTint="33"/>
            <w:hideMark/>
          </w:tcPr>
          <w:p w14:paraId="4FEE0176" w14:textId="77777777" w:rsidR="00DC31D6" w:rsidRPr="00DC31D6" w:rsidRDefault="00DC31D6" w:rsidP="002C1C1B">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6. Coordination interinstitutionnelle</w:t>
            </w:r>
          </w:p>
        </w:tc>
        <w:tc>
          <w:tcPr>
            <w:tcW w:w="0" w:type="auto"/>
            <w:shd w:val="clear" w:color="auto" w:fill="E2EFD9" w:themeFill="accent6" w:themeFillTint="33"/>
            <w:hideMark/>
          </w:tcPr>
          <w:p w14:paraId="78BAEFD2" w14:textId="05EC651B"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Instituer un groupe de travail permanent sur la divulgation systématique, piloté par le SP ITIE</w:t>
            </w:r>
          </w:p>
        </w:tc>
        <w:tc>
          <w:tcPr>
            <w:tcW w:w="0" w:type="auto"/>
            <w:shd w:val="clear" w:color="auto" w:fill="E2EFD9" w:themeFill="accent6" w:themeFillTint="33"/>
            <w:hideMark/>
          </w:tcPr>
          <w:p w14:paraId="368F30F8" w14:textId="77777777" w:rsidR="00DC31D6" w:rsidRPr="00DC31D6" w:rsidRDefault="00DC31D6" w:rsidP="002C1C1B">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shd w:val="clear" w:color="auto" w:fill="E2EFD9" w:themeFill="accent6" w:themeFillTint="33"/>
            <w:hideMark/>
          </w:tcPr>
          <w:p w14:paraId="2E56604E" w14:textId="33ACC41D" w:rsidR="00DC31D6" w:rsidRPr="00DC31D6" w:rsidRDefault="00BD53FF" w:rsidP="002C1C1B">
            <w:pPr>
              <w:spacing w:before="40" w:after="40"/>
              <w:rPr>
                <w:rFonts w:ascii="Kohinoor Devanagari" w:hAnsi="Kohinoor Devanagari" w:cs="Kohinoor Devanagari"/>
                <w:sz w:val="20"/>
                <w:szCs w:val="20"/>
                <w:lang w:eastAsia="fr-FR"/>
              </w:rPr>
            </w:pPr>
            <w:r w:rsidRPr="00CB4D41">
              <w:rPr>
                <w:rFonts w:ascii="Kohinoor Devanagari" w:hAnsi="Kohinoor Devanagari" w:cs="Kohinoor Devanagari"/>
                <w:sz w:val="20"/>
                <w:szCs w:val="20"/>
                <w:lang w:eastAsia="fr-FR"/>
              </w:rPr>
              <w:t xml:space="preserve">Comité ITIE, MINFI, MINMIDT, </w:t>
            </w:r>
            <w:r w:rsidRPr="00DC31D6">
              <w:rPr>
                <w:rFonts w:ascii="Kohinoor Devanagari" w:hAnsi="Kohinoor Devanagari" w:cs="Kohinoor Devanagari"/>
                <w:sz w:val="20"/>
                <w:szCs w:val="20"/>
                <w:lang w:eastAsia="fr-FR"/>
              </w:rPr>
              <w:t>MINEPDED</w:t>
            </w:r>
            <w:r w:rsidRPr="00CB4D41">
              <w:rPr>
                <w:rFonts w:ascii="Kohinoor Devanagari" w:hAnsi="Kohinoor Devanagari" w:cs="Kohinoor Devanagari"/>
                <w:sz w:val="20"/>
                <w:szCs w:val="20"/>
                <w:lang w:eastAsia="fr-FR"/>
              </w:rPr>
              <w:t xml:space="preserve"> </w:t>
            </w:r>
          </w:p>
        </w:tc>
      </w:tr>
    </w:tbl>
    <w:p w14:paraId="543F26B3" w14:textId="77777777" w:rsidR="00DC31D6" w:rsidRPr="00DC31D6" w:rsidRDefault="00DC31D6" w:rsidP="00BD44C9">
      <w:pPr>
        <w:spacing w:before="120" w:after="120" w:line="240" w:lineRule="auto"/>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(ii) Recommandations à l’intention des utilisateurs de données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1"/>
        <w:gridCol w:w="3980"/>
        <w:gridCol w:w="1056"/>
        <w:gridCol w:w="2111"/>
      </w:tblGrid>
      <w:tr w:rsidR="00DA40DA" w:rsidRPr="00CB4D41" w14:paraId="6EA1D58E" w14:textId="77777777" w:rsidTr="007D5ED0">
        <w:trPr>
          <w:tblHeader/>
        </w:trPr>
        <w:tc>
          <w:tcPr>
            <w:tcW w:w="0" w:type="auto"/>
            <w:shd w:val="clear" w:color="auto" w:fill="47626F"/>
            <w:hideMark/>
          </w:tcPr>
          <w:p w14:paraId="15BC93D2" w14:textId="77777777" w:rsidR="00DC31D6" w:rsidRPr="00DC31D6" w:rsidRDefault="00DC31D6" w:rsidP="00DA40DA">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Axe d’amélioration</w:t>
            </w:r>
          </w:p>
        </w:tc>
        <w:tc>
          <w:tcPr>
            <w:tcW w:w="0" w:type="auto"/>
            <w:shd w:val="clear" w:color="auto" w:fill="47626F"/>
            <w:hideMark/>
          </w:tcPr>
          <w:p w14:paraId="7E7F9D40" w14:textId="77777777" w:rsidR="00DC31D6" w:rsidRPr="00DC31D6" w:rsidRDefault="00DC31D6" w:rsidP="00DA40DA">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Recommandation</w:t>
            </w:r>
          </w:p>
        </w:tc>
        <w:tc>
          <w:tcPr>
            <w:tcW w:w="0" w:type="auto"/>
            <w:shd w:val="clear" w:color="auto" w:fill="47626F"/>
            <w:hideMark/>
          </w:tcPr>
          <w:p w14:paraId="00C0A8C6" w14:textId="77777777" w:rsidR="00DC31D6" w:rsidRPr="00DC31D6" w:rsidRDefault="00DC31D6" w:rsidP="00DA40DA">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Horizon</w:t>
            </w:r>
          </w:p>
        </w:tc>
        <w:tc>
          <w:tcPr>
            <w:tcW w:w="0" w:type="auto"/>
            <w:shd w:val="clear" w:color="auto" w:fill="47626F"/>
            <w:hideMark/>
          </w:tcPr>
          <w:p w14:paraId="7A17659B" w14:textId="77777777" w:rsidR="00DC31D6" w:rsidRPr="00DC31D6" w:rsidRDefault="00DC31D6" w:rsidP="00DA40DA">
            <w:pPr>
              <w:spacing w:before="40" w:after="40"/>
              <w:rPr>
                <w:rFonts w:ascii="Kohinoor Devanagari" w:hAnsi="Kohinoor Devanagari" w:cs="Kohinoor Devanagari"/>
                <w:b/>
                <w:bCs/>
                <w:color w:val="FFFFFF" w:themeColor="background1"/>
                <w:sz w:val="20"/>
                <w:szCs w:val="20"/>
                <w:lang w:eastAsia="fr-FR"/>
              </w:rPr>
            </w:pPr>
            <w:r w:rsidRPr="00DC31D6">
              <w:rPr>
                <w:rFonts w:ascii="Kohinoor Devanagari" w:hAnsi="Kohinoor Devanagari" w:cs="Kohinoor Devanagari"/>
                <w:b/>
                <w:bCs/>
                <w:color w:val="FFFFFF" w:themeColor="background1"/>
                <w:sz w:val="20"/>
                <w:szCs w:val="20"/>
                <w:lang w:eastAsia="fr-FR"/>
              </w:rPr>
              <w:t>Bénéficiaires / Acteurs concernés</w:t>
            </w:r>
          </w:p>
        </w:tc>
      </w:tr>
      <w:tr w:rsidR="00CB4D41" w:rsidRPr="00DC31D6" w14:paraId="2B447CB9" w14:textId="77777777" w:rsidTr="00506143">
        <w:tc>
          <w:tcPr>
            <w:tcW w:w="0" w:type="auto"/>
            <w:hideMark/>
          </w:tcPr>
          <w:p w14:paraId="518AA3B1" w14:textId="77777777" w:rsidR="00DC31D6" w:rsidRPr="00DC31D6" w:rsidRDefault="00DC31D6" w:rsidP="00DA40DA">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1. Renforcement des capacités</w:t>
            </w:r>
          </w:p>
        </w:tc>
        <w:tc>
          <w:tcPr>
            <w:tcW w:w="0" w:type="auto"/>
            <w:hideMark/>
          </w:tcPr>
          <w:p w14:paraId="4EB6A7EC"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Mettre en place des cycles de formation sur l’analyse de données extractives (Excel, tableaux de bord, lecture de contrats, fiscalité)</w:t>
            </w:r>
          </w:p>
        </w:tc>
        <w:tc>
          <w:tcPr>
            <w:tcW w:w="0" w:type="auto"/>
            <w:hideMark/>
          </w:tcPr>
          <w:p w14:paraId="5054F4C8"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hideMark/>
          </w:tcPr>
          <w:p w14:paraId="663F73A5" w14:textId="2DE1377B"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OSC, médias, élus locaux</w:t>
            </w:r>
          </w:p>
        </w:tc>
      </w:tr>
      <w:tr w:rsidR="00CB4D41" w:rsidRPr="00DC31D6" w14:paraId="13C01890" w14:textId="77777777" w:rsidTr="007D5ED0">
        <w:tc>
          <w:tcPr>
            <w:tcW w:w="0" w:type="auto"/>
            <w:shd w:val="clear" w:color="auto" w:fill="E2EFD9" w:themeFill="accent6" w:themeFillTint="33"/>
            <w:hideMark/>
          </w:tcPr>
          <w:p w14:paraId="7D71A1BD" w14:textId="77777777" w:rsidR="00DC31D6" w:rsidRPr="00DC31D6" w:rsidRDefault="00DC31D6" w:rsidP="00DA40DA">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2. Accompagnement à l’usage</w:t>
            </w:r>
          </w:p>
        </w:tc>
        <w:tc>
          <w:tcPr>
            <w:tcW w:w="0" w:type="auto"/>
            <w:shd w:val="clear" w:color="auto" w:fill="E2EFD9" w:themeFill="accent6" w:themeFillTint="33"/>
            <w:hideMark/>
          </w:tcPr>
          <w:p w14:paraId="0B56DC61" w14:textId="0C1D782C"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 xml:space="preserve">Créer une cellule d’appui ou un guichet au sein du </w:t>
            </w:r>
            <w:r w:rsidR="00D7427E" w:rsidRPr="00CB4D41">
              <w:rPr>
                <w:rFonts w:ascii="Kohinoor Devanagari" w:hAnsi="Kohinoor Devanagari" w:cs="Kohinoor Devanagari"/>
                <w:sz w:val="20"/>
                <w:szCs w:val="20"/>
                <w:lang w:eastAsia="fr-FR"/>
              </w:rPr>
              <w:t>S</w:t>
            </w:r>
            <w:r w:rsidRPr="00DC31D6">
              <w:rPr>
                <w:rFonts w:ascii="Kohinoor Devanagari" w:hAnsi="Kohinoor Devanagari" w:cs="Kohinoor Devanagari"/>
                <w:sz w:val="20"/>
                <w:szCs w:val="20"/>
                <w:lang w:eastAsia="fr-FR"/>
              </w:rPr>
              <w:t>P pour aider les utilisateurs à accéder, interpréter et réutiliser les données</w:t>
            </w:r>
          </w:p>
        </w:tc>
        <w:tc>
          <w:tcPr>
            <w:tcW w:w="0" w:type="auto"/>
            <w:shd w:val="clear" w:color="auto" w:fill="E2EFD9" w:themeFill="accent6" w:themeFillTint="33"/>
            <w:hideMark/>
          </w:tcPr>
          <w:p w14:paraId="1E512D83"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shd w:val="clear" w:color="auto" w:fill="E2EFD9" w:themeFill="accent6" w:themeFillTint="33"/>
            <w:hideMark/>
          </w:tcPr>
          <w:p w14:paraId="2B4BBDE1" w14:textId="159B2774" w:rsidR="00DC31D6" w:rsidRPr="00DC31D6" w:rsidRDefault="00D7427E"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OSC, médias, élus locaux</w:t>
            </w:r>
          </w:p>
        </w:tc>
      </w:tr>
      <w:tr w:rsidR="00CB4D41" w:rsidRPr="00DC31D6" w14:paraId="5094387F" w14:textId="77777777" w:rsidTr="00506143">
        <w:tc>
          <w:tcPr>
            <w:tcW w:w="0" w:type="auto"/>
            <w:hideMark/>
          </w:tcPr>
          <w:p w14:paraId="4B7B0C27" w14:textId="77777777" w:rsidR="00DC31D6" w:rsidRPr="00DC31D6" w:rsidRDefault="00DC31D6" w:rsidP="00DA40DA">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lastRenderedPageBreak/>
              <w:t>3. Formats adaptés</w:t>
            </w:r>
          </w:p>
        </w:tc>
        <w:tc>
          <w:tcPr>
            <w:tcW w:w="0" w:type="auto"/>
            <w:hideMark/>
          </w:tcPr>
          <w:p w14:paraId="4A8E04B7"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Produire des résumés thématiques, infographies et jeux de données simplifiés sur les revenus, contrats, impacts</w:t>
            </w:r>
          </w:p>
        </w:tc>
        <w:tc>
          <w:tcPr>
            <w:tcW w:w="0" w:type="auto"/>
            <w:hideMark/>
          </w:tcPr>
          <w:p w14:paraId="4557C46F"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Court terme</w:t>
            </w:r>
          </w:p>
        </w:tc>
        <w:tc>
          <w:tcPr>
            <w:tcW w:w="0" w:type="auto"/>
            <w:hideMark/>
          </w:tcPr>
          <w:p w14:paraId="5317BC00"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Public non spécialiste, communautés locales</w:t>
            </w:r>
          </w:p>
        </w:tc>
      </w:tr>
      <w:tr w:rsidR="00CB4D41" w:rsidRPr="00DC31D6" w14:paraId="7CE5F4BF" w14:textId="77777777" w:rsidTr="007D5ED0">
        <w:tc>
          <w:tcPr>
            <w:tcW w:w="0" w:type="auto"/>
            <w:shd w:val="clear" w:color="auto" w:fill="E2EFD9" w:themeFill="accent6" w:themeFillTint="33"/>
            <w:hideMark/>
          </w:tcPr>
          <w:p w14:paraId="61483A93" w14:textId="77777777" w:rsidR="00DC31D6" w:rsidRPr="00DC31D6" w:rsidRDefault="00DC31D6" w:rsidP="00DA40DA">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4. Inclusion numérique</w:t>
            </w:r>
          </w:p>
        </w:tc>
        <w:tc>
          <w:tcPr>
            <w:tcW w:w="0" w:type="auto"/>
            <w:shd w:val="clear" w:color="auto" w:fill="E2EFD9" w:themeFill="accent6" w:themeFillTint="33"/>
            <w:hideMark/>
          </w:tcPr>
          <w:p w14:paraId="2AFBFC76" w14:textId="5862245E"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Faciliter l’accès hors ligne dans les zones à faible connectivité</w:t>
            </w:r>
          </w:p>
        </w:tc>
        <w:tc>
          <w:tcPr>
            <w:tcW w:w="0" w:type="auto"/>
            <w:shd w:val="clear" w:color="auto" w:fill="E2EFD9" w:themeFill="accent6" w:themeFillTint="33"/>
            <w:hideMark/>
          </w:tcPr>
          <w:p w14:paraId="2010F34A"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Moyen terme</w:t>
            </w:r>
          </w:p>
        </w:tc>
        <w:tc>
          <w:tcPr>
            <w:tcW w:w="0" w:type="auto"/>
            <w:shd w:val="clear" w:color="auto" w:fill="E2EFD9" w:themeFill="accent6" w:themeFillTint="33"/>
            <w:hideMark/>
          </w:tcPr>
          <w:p w14:paraId="45522F1B"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Populations rurales, jeunes, femmes</w:t>
            </w:r>
          </w:p>
        </w:tc>
      </w:tr>
      <w:tr w:rsidR="00CB4D41" w:rsidRPr="00DC31D6" w14:paraId="59841807" w14:textId="77777777" w:rsidTr="00506143">
        <w:tc>
          <w:tcPr>
            <w:tcW w:w="0" w:type="auto"/>
            <w:hideMark/>
          </w:tcPr>
          <w:p w14:paraId="1CEB50B4" w14:textId="77777777" w:rsidR="00DC31D6" w:rsidRPr="00DC31D6" w:rsidRDefault="00DC31D6" w:rsidP="00DA40DA">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5. Sensibilisation ciblée</w:t>
            </w:r>
          </w:p>
        </w:tc>
        <w:tc>
          <w:tcPr>
            <w:tcW w:w="0" w:type="auto"/>
            <w:hideMark/>
          </w:tcPr>
          <w:p w14:paraId="0A83D30C"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Déployer des campagnes de sensibilisation sur les droits d’accès à l’information extractive, en langues locales</w:t>
            </w:r>
          </w:p>
        </w:tc>
        <w:tc>
          <w:tcPr>
            <w:tcW w:w="0" w:type="auto"/>
            <w:hideMark/>
          </w:tcPr>
          <w:p w14:paraId="7E443C09"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Moyen terme</w:t>
            </w:r>
          </w:p>
        </w:tc>
        <w:tc>
          <w:tcPr>
            <w:tcW w:w="0" w:type="auto"/>
            <w:hideMark/>
          </w:tcPr>
          <w:p w14:paraId="1AC02CD1" w14:textId="721CAF7A"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Communautés affectées</w:t>
            </w:r>
          </w:p>
        </w:tc>
      </w:tr>
      <w:tr w:rsidR="00CB4D41" w:rsidRPr="00DC31D6" w14:paraId="313DD31B" w14:textId="77777777" w:rsidTr="007D5ED0">
        <w:tc>
          <w:tcPr>
            <w:tcW w:w="0" w:type="auto"/>
            <w:shd w:val="clear" w:color="auto" w:fill="E2EFD9" w:themeFill="accent6" w:themeFillTint="33"/>
            <w:hideMark/>
          </w:tcPr>
          <w:p w14:paraId="3B9AB709" w14:textId="77777777" w:rsidR="00DC31D6" w:rsidRPr="00DC31D6" w:rsidRDefault="00DC31D6" w:rsidP="00DA40DA">
            <w:pPr>
              <w:spacing w:before="40" w:after="40"/>
              <w:rPr>
                <w:rFonts w:ascii="Kohinoor Devanagari" w:hAnsi="Kohinoor Devanagari" w:cs="Kohinoor Devanagari"/>
                <w:b/>
                <w:bCs/>
                <w:sz w:val="20"/>
                <w:szCs w:val="20"/>
                <w:lang w:eastAsia="fr-FR"/>
              </w:rPr>
            </w:pPr>
            <w:r w:rsidRPr="00DC31D6">
              <w:rPr>
                <w:rFonts w:ascii="Kohinoor Devanagari" w:hAnsi="Kohinoor Devanagari" w:cs="Kohinoor Devanagari"/>
                <w:b/>
                <w:bCs/>
                <w:sz w:val="20"/>
                <w:szCs w:val="20"/>
                <w:lang w:eastAsia="fr-FR"/>
              </w:rPr>
              <w:t>6. Plateforme interactive</w:t>
            </w:r>
          </w:p>
        </w:tc>
        <w:tc>
          <w:tcPr>
            <w:tcW w:w="0" w:type="auto"/>
            <w:shd w:val="clear" w:color="auto" w:fill="E2EFD9" w:themeFill="accent6" w:themeFillTint="33"/>
            <w:hideMark/>
          </w:tcPr>
          <w:p w14:paraId="396C9CBA"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Développer un tableau de bord citoyen permettant aux usagers de visualiser et commenter les données extractives</w:t>
            </w:r>
          </w:p>
        </w:tc>
        <w:tc>
          <w:tcPr>
            <w:tcW w:w="0" w:type="auto"/>
            <w:shd w:val="clear" w:color="auto" w:fill="E2EFD9" w:themeFill="accent6" w:themeFillTint="33"/>
            <w:hideMark/>
          </w:tcPr>
          <w:p w14:paraId="16C557DA"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Moyen terme</w:t>
            </w:r>
          </w:p>
        </w:tc>
        <w:tc>
          <w:tcPr>
            <w:tcW w:w="0" w:type="auto"/>
            <w:shd w:val="clear" w:color="auto" w:fill="E2EFD9" w:themeFill="accent6" w:themeFillTint="33"/>
            <w:hideMark/>
          </w:tcPr>
          <w:p w14:paraId="2BC7F63A" w14:textId="77777777" w:rsidR="00DC31D6" w:rsidRPr="00DC31D6" w:rsidRDefault="00DC31D6" w:rsidP="00DA40DA">
            <w:pPr>
              <w:spacing w:before="40" w:after="40"/>
              <w:rPr>
                <w:rFonts w:ascii="Kohinoor Devanagari" w:hAnsi="Kohinoor Devanagari" w:cs="Kohinoor Devanagari"/>
                <w:sz w:val="20"/>
                <w:szCs w:val="20"/>
                <w:lang w:eastAsia="fr-FR"/>
              </w:rPr>
            </w:pPr>
            <w:r w:rsidRPr="00DC31D6">
              <w:rPr>
                <w:rFonts w:ascii="Kohinoor Devanagari" w:hAnsi="Kohinoor Devanagari" w:cs="Kohinoor Devanagari"/>
                <w:sz w:val="20"/>
                <w:szCs w:val="20"/>
                <w:lang w:eastAsia="fr-FR"/>
              </w:rPr>
              <w:t>Grand public, société civile, chercheurs</w:t>
            </w:r>
          </w:p>
        </w:tc>
      </w:tr>
    </w:tbl>
    <w:p w14:paraId="7F503CFA" w14:textId="77777777" w:rsidR="00EC6028" w:rsidRPr="00CB4D41" w:rsidRDefault="00EC6028" w:rsidP="00EC6028">
      <w:pPr>
        <w:rPr>
          <w:rFonts w:ascii="Kohinoor Devanagari" w:hAnsi="Kohinoor Devanagari" w:cs="Kohinoor Devanagari"/>
          <w:sz w:val="20"/>
          <w:szCs w:val="20"/>
          <w:lang w:eastAsia="fr-FR"/>
        </w:rPr>
      </w:pPr>
    </w:p>
    <w:p w14:paraId="4541B834" w14:textId="59F248FA" w:rsidR="00DF310C" w:rsidRPr="00CB4D41" w:rsidRDefault="00DF310C">
      <w:pPr>
        <w:rPr>
          <w:rFonts w:ascii="Kohinoor Devanagari" w:hAnsi="Kohinoor Devanagari" w:cs="Kohinoor Devanagari"/>
          <w:sz w:val="20"/>
          <w:szCs w:val="20"/>
          <w:lang w:eastAsia="fr-FR"/>
        </w:rPr>
      </w:pPr>
      <w:r w:rsidRPr="00CB4D41">
        <w:rPr>
          <w:rFonts w:ascii="Kohinoor Devanagari" w:hAnsi="Kohinoor Devanagari" w:cs="Kohinoor Devanagari"/>
          <w:sz w:val="20"/>
          <w:szCs w:val="20"/>
          <w:lang w:eastAsia="fr-FR"/>
        </w:rPr>
        <w:br w:type="page"/>
      </w:r>
    </w:p>
    <w:p w14:paraId="7922A5A4" w14:textId="3C015A6D" w:rsidR="00542095" w:rsidRPr="009B3188" w:rsidRDefault="000E7911" w:rsidP="001059BE">
      <w:pPr>
        <w:pStyle w:val="Titre1"/>
        <w:numPr>
          <w:ilvl w:val="0"/>
          <w:numId w:val="9"/>
        </w:numPr>
        <w:shd w:val="clear" w:color="auto" w:fill="61BC4D"/>
        <w:spacing w:before="180" w:after="180"/>
        <w:rPr>
          <w:rFonts w:ascii="Kohinoor Devanagari" w:hAnsi="Kohinoor Devanagari" w:cs="Kohinoor Devanagari"/>
          <w:b/>
          <w:bCs/>
          <w:color w:val="FFFFFF" w:themeColor="background1"/>
          <w:sz w:val="26"/>
          <w:szCs w:val="26"/>
        </w:rPr>
      </w:pPr>
      <w:bookmarkStart w:id="36" w:name="_Toc204691623"/>
      <w:r w:rsidRPr="009B3188">
        <w:rPr>
          <w:rFonts w:ascii="Kohinoor Devanagari" w:hAnsi="Kohinoor Devanagari" w:cs="Kohinoor Devanagari"/>
          <w:b/>
          <w:bCs/>
          <w:color w:val="FFFFFF" w:themeColor="background1"/>
          <w:sz w:val="26"/>
          <w:szCs w:val="26"/>
        </w:rPr>
        <w:lastRenderedPageBreak/>
        <w:t>Impact de</w:t>
      </w:r>
      <w:r w:rsidR="005F0713" w:rsidRPr="009B3188">
        <w:rPr>
          <w:rFonts w:ascii="Kohinoor Devanagari" w:hAnsi="Kohinoor Devanagari" w:cs="Kohinoor Devanagari"/>
          <w:b/>
          <w:bCs/>
          <w:color w:val="FFFFFF" w:themeColor="background1"/>
          <w:sz w:val="26"/>
          <w:szCs w:val="26"/>
        </w:rPr>
        <w:t xml:space="preserve"> l’intégration </w:t>
      </w:r>
      <w:r w:rsidR="000B5CF5" w:rsidRPr="009B3188">
        <w:rPr>
          <w:rFonts w:ascii="Kohinoor Devanagari" w:hAnsi="Kohinoor Devanagari" w:cs="Kohinoor Devanagari"/>
          <w:b/>
          <w:bCs/>
          <w:color w:val="FFFFFF" w:themeColor="background1"/>
          <w:sz w:val="26"/>
          <w:szCs w:val="26"/>
        </w:rPr>
        <w:t xml:space="preserve">sur </w:t>
      </w:r>
      <w:r w:rsidR="007E6E28" w:rsidRPr="009B3188">
        <w:rPr>
          <w:rFonts w:ascii="Kohinoor Devanagari" w:hAnsi="Kohinoor Devanagari" w:cs="Kohinoor Devanagari"/>
          <w:b/>
          <w:bCs/>
          <w:color w:val="FFFFFF" w:themeColor="background1"/>
          <w:sz w:val="26"/>
          <w:szCs w:val="26"/>
        </w:rPr>
        <w:t xml:space="preserve">le processus </w:t>
      </w:r>
      <w:r w:rsidR="00240E8E" w:rsidRPr="009B3188">
        <w:rPr>
          <w:rFonts w:ascii="Kohinoor Devanagari" w:hAnsi="Kohinoor Devanagari" w:cs="Kohinoor Devanagari"/>
          <w:b/>
          <w:bCs/>
          <w:color w:val="FFFFFF" w:themeColor="background1"/>
          <w:sz w:val="26"/>
          <w:szCs w:val="26"/>
        </w:rPr>
        <w:t>de</w:t>
      </w:r>
      <w:r w:rsidR="005F0713" w:rsidRPr="009B3188">
        <w:rPr>
          <w:rFonts w:ascii="Kohinoor Devanagari" w:hAnsi="Kohinoor Devanagari" w:cs="Kohinoor Devanagari"/>
          <w:b/>
          <w:bCs/>
          <w:color w:val="FFFFFF" w:themeColor="background1"/>
          <w:sz w:val="26"/>
          <w:szCs w:val="26"/>
        </w:rPr>
        <w:t xml:space="preserve"> </w:t>
      </w:r>
      <w:r w:rsidR="007E6E28" w:rsidRPr="009B3188">
        <w:rPr>
          <w:rFonts w:ascii="Kohinoor Devanagari" w:hAnsi="Kohinoor Devanagari" w:cs="Kohinoor Devanagari"/>
          <w:b/>
          <w:bCs/>
          <w:color w:val="FFFFFF" w:themeColor="background1"/>
          <w:sz w:val="26"/>
          <w:szCs w:val="26"/>
        </w:rPr>
        <w:t>l’</w:t>
      </w:r>
      <w:r w:rsidR="005F0713" w:rsidRPr="009B3188">
        <w:rPr>
          <w:rFonts w:ascii="Kohinoor Devanagari" w:hAnsi="Kohinoor Devanagari" w:cs="Kohinoor Devanagari"/>
          <w:b/>
          <w:bCs/>
          <w:color w:val="FFFFFF" w:themeColor="background1"/>
          <w:sz w:val="26"/>
          <w:szCs w:val="26"/>
        </w:rPr>
        <w:t xml:space="preserve">ITIE </w:t>
      </w:r>
      <w:r w:rsidR="00BC1A58" w:rsidRPr="009B3188">
        <w:rPr>
          <w:rFonts w:ascii="Kohinoor Devanagari" w:hAnsi="Kohinoor Devanagari" w:cs="Kohinoor Devanagari"/>
          <w:b/>
          <w:bCs/>
          <w:color w:val="FFFFFF" w:themeColor="background1"/>
          <w:sz w:val="26"/>
          <w:szCs w:val="26"/>
        </w:rPr>
        <w:t>au Cameroun</w:t>
      </w:r>
      <w:bookmarkEnd w:id="36"/>
    </w:p>
    <w:p w14:paraId="4E7AABA0" w14:textId="019F1921" w:rsidR="00C129D9" w:rsidRPr="00CC6DEA" w:rsidRDefault="00C129D9" w:rsidP="00DF0B08">
      <w:pPr>
        <w:spacing w:before="120" w:after="120" w:line="240" w:lineRule="auto"/>
        <w:jc w:val="both"/>
        <w:rPr>
          <w:rFonts w:ascii="Kohinoor Devanagari" w:eastAsia="Times New Roman" w:hAnsi="Kohinoor Devanagari" w:cs="Kohinoor Devanagari"/>
          <w:color w:val="000000" w:themeColor="text1"/>
          <w:kern w:val="0"/>
          <w:sz w:val="20"/>
          <w:szCs w:val="20"/>
          <w:lang w:eastAsia="fr-FR"/>
        </w:rPr>
      </w:pPr>
      <w:r w:rsidRPr="00CC6DEA">
        <w:rPr>
          <w:rFonts w:ascii="Kohinoor Devanagari" w:eastAsia="Times New Roman" w:hAnsi="Kohinoor Devanagari" w:cs="Kohinoor Devanagari"/>
          <w:color w:val="000000" w:themeColor="text1"/>
          <w:kern w:val="0"/>
          <w:sz w:val="20"/>
          <w:szCs w:val="20"/>
          <w:lang w:eastAsia="fr-FR"/>
        </w:rPr>
        <w:t xml:space="preserve">L’intégration de la divulgation systématique dans les systèmes gouvernementaux camerounais représente à la fois des </w:t>
      </w:r>
      <w:r w:rsidRPr="00CC6DEA">
        <w:rPr>
          <w:rFonts w:ascii="Kohinoor Devanagari" w:eastAsia="Times New Roman" w:hAnsi="Kohinoor Devanagari" w:cs="Kohinoor Devanagari"/>
          <w:b/>
          <w:bCs/>
          <w:color w:val="000000" w:themeColor="text1"/>
          <w:kern w:val="0"/>
          <w:sz w:val="20"/>
          <w:szCs w:val="20"/>
          <w:lang w:eastAsia="fr-FR"/>
        </w:rPr>
        <w:t>défis à anticiper</w:t>
      </w:r>
      <w:r w:rsidRPr="00CC6DEA">
        <w:rPr>
          <w:rFonts w:ascii="Kohinoor Devanagari" w:eastAsia="Times New Roman" w:hAnsi="Kohinoor Devanagari" w:cs="Kohinoor Devanagari"/>
          <w:color w:val="000000" w:themeColor="text1"/>
          <w:kern w:val="0"/>
          <w:sz w:val="20"/>
          <w:szCs w:val="20"/>
          <w:lang w:eastAsia="fr-FR"/>
        </w:rPr>
        <w:t xml:space="preserve"> et des </w:t>
      </w:r>
      <w:r w:rsidRPr="00CC6DEA">
        <w:rPr>
          <w:rFonts w:ascii="Kohinoor Devanagari" w:eastAsia="Times New Roman" w:hAnsi="Kohinoor Devanagari" w:cs="Kohinoor Devanagari"/>
          <w:b/>
          <w:bCs/>
          <w:color w:val="000000" w:themeColor="text1"/>
          <w:kern w:val="0"/>
          <w:sz w:val="20"/>
          <w:szCs w:val="20"/>
          <w:lang w:eastAsia="fr-FR"/>
        </w:rPr>
        <w:t>opportunités stratégiques</w:t>
      </w:r>
      <w:r w:rsidRPr="00CC6DEA">
        <w:rPr>
          <w:rFonts w:ascii="Kohinoor Devanagari" w:eastAsia="Times New Roman" w:hAnsi="Kohinoor Devanagari" w:cs="Kohinoor Devanagari"/>
          <w:color w:val="000000" w:themeColor="text1"/>
          <w:kern w:val="0"/>
          <w:sz w:val="20"/>
          <w:szCs w:val="20"/>
          <w:lang w:eastAsia="fr-FR"/>
        </w:rPr>
        <w:t xml:space="preserve"> pour renforcer la transparence, l’efficacité et la redevabilité dans le secteur extractif. Les risques et opportunités identifiés ci-dessous s’appuient sur les résultats des enquêtes, les entretiens menés et les expériences comparatives.</w:t>
      </w:r>
    </w:p>
    <w:p w14:paraId="72001866" w14:textId="5875FA13" w:rsidR="00D16454" w:rsidRPr="00CC6DEA" w:rsidRDefault="002C58FB"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37" w:name="_Toc204691624"/>
      <w:r w:rsidRPr="00CC6DEA">
        <w:rPr>
          <w:rFonts w:ascii="Kohinoor Devanagari" w:eastAsia="Times New Roman" w:hAnsi="Kohinoor Devanagari" w:cs="Kohinoor Devanagari"/>
          <w:b/>
          <w:bCs/>
          <w:color w:val="000000" w:themeColor="text1"/>
          <w:sz w:val="20"/>
          <w:szCs w:val="20"/>
          <w:lang w:eastAsia="fr-FR"/>
        </w:rPr>
        <w:t xml:space="preserve">Principaux </w:t>
      </w:r>
      <w:r w:rsidR="00D16454" w:rsidRPr="00CC6DEA">
        <w:rPr>
          <w:rFonts w:ascii="Kohinoor Devanagari" w:eastAsia="Times New Roman" w:hAnsi="Kohinoor Devanagari" w:cs="Kohinoor Devanagari"/>
          <w:b/>
          <w:bCs/>
          <w:color w:val="000000" w:themeColor="text1"/>
          <w:sz w:val="20"/>
          <w:szCs w:val="20"/>
          <w:lang w:eastAsia="fr-FR"/>
        </w:rPr>
        <w:t>Risques liés à l’intégration</w:t>
      </w:r>
      <w:r w:rsidR="00D203AA" w:rsidRPr="00CC6DEA">
        <w:rPr>
          <w:rFonts w:ascii="Kohinoor Devanagari" w:eastAsia="Times New Roman" w:hAnsi="Kohinoor Devanagari" w:cs="Kohinoor Devanagari"/>
          <w:b/>
          <w:bCs/>
          <w:color w:val="000000" w:themeColor="text1"/>
          <w:sz w:val="20"/>
          <w:szCs w:val="20"/>
          <w:lang w:eastAsia="fr-FR"/>
        </w:rPr>
        <w:t xml:space="preserve"> de l’ITIE</w:t>
      </w:r>
      <w:bookmarkEnd w:id="37"/>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535"/>
        <w:gridCol w:w="3151"/>
        <w:gridCol w:w="3652"/>
      </w:tblGrid>
      <w:tr w:rsidR="00C70821" w:rsidRPr="00CC6DEA" w14:paraId="3DDEB3B1" w14:textId="77777777" w:rsidTr="00940B91">
        <w:trPr>
          <w:tblHeader/>
        </w:trPr>
        <w:tc>
          <w:tcPr>
            <w:tcW w:w="0" w:type="auto"/>
            <w:shd w:val="clear" w:color="auto" w:fill="47626F"/>
            <w:hideMark/>
          </w:tcPr>
          <w:p w14:paraId="20FF52C4" w14:textId="77777777" w:rsidR="00C70821" w:rsidRPr="00C70821" w:rsidRDefault="00C70821" w:rsidP="00CC6DEA">
            <w:pPr>
              <w:spacing w:before="40" w:after="40"/>
              <w:rPr>
                <w:rFonts w:ascii="Kohinoor Devanagari" w:hAnsi="Kohinoor Devanagari" w:cs="Kohinoor Devanagari"/>
                <w:b/>
                <w:bCs/>
                <w:color w:val="FFFFFF" w:themeColor="background1"/>
                <w:sz w:val="20"/>
                <w:szCs w:val="20"/>
                <w:lang w:eastAsia="fr-FR"/>
              </w:rPr>
            </w:pPr>
            <w:r w:rsidRPr="00C70821">
              <w:rPr>
                <w:rFonts w:ascii="Kohinoor Devanagari" w:hAnsi="Kohinoor Devanagari" w:cs="Kohinoor Devanagari"/>
                <w:b/>
                <w:bCs/>
                <w:color w:val="FFFFFF" w:themeColor="background1"/>
                <w:sz w:val="20"/>
                <w:szCs w:val="20"/>
                <w:lang w:eastAsia="fr-FR"/>
              </w:rPr>
              <w:t>Risque identifié</w:t>
            </w:r>
          </w:p>
        </w:tc>
        <w:tc>
          <w:tcPr>
            <w:tcW w:w="0" w:type="auto"/>
            <w:shd w:val="clear" w:color="auto" w:fill="47626F"/>
            <w:hideMark/>
          </w:tcPr>
          <w:p w14:paraId="7E16F95F" w14:textId="77777777" w:rsidR="00C70821" w:rsidRPr="00C70821" w:rsidRDefault="00C70821" w:rsidP="00CC6DEA">
            <w:pPr>
              <w:spacing w:before="40" w:after="40"/>
              <w:rPr>
                <w:rFonts w:ascii="Kohinoor Devanagari" w:hAnsi="Kohinoor Devanagari" w:cs="Kohinoor Devanagari"/>
                <w:b/>
                <w:bCs/>
                <w:color w:val="FFFFFF" w:themeColor="background1"/>
                <w:sz w:val="20"/>
                <w:szCs w:val="20"/>
                <w:lang w:eastAsia="fr-FR"/>
              </w:rPr>
            </w:pPr>
            <w:r w:rsidRPr="00C70821">
              <w:rPr>
                <w:rFonts w:ascii="Kohinoor Devanagari" w:hAnsi="Kohinoor Devanagari" w:cs="Kohinoor Devanagari"/>
                <w:b/>
                <w:bCs/>
                <w:color w:val="FFFFFF" w:themeColor="background1"/>
                <w:sz w:val="20"/>
                <w:szCs w:val="20"/>
                <w:lang w:eastAsia="fr-FR"/>
              </w:rPr>
              <w:t>Impact potentiel</w:t>
            </w:r>
          </w:p>
        </w:tc>
        <w:tc>
          <w:tcPr>
            <w:tcW w:w="0" w:type="auto"/>
            <w:shd w:val="clear" w:color="auto" w:fill="47626F"/>
            <w:hideMark/>
          </w:tcPr>
          <w:p w14:paraId="5269BF5A" w14:textId="77777777" w:rsidR="00C70821" w:rsidRPr="00C70821" w:rsidRDefault="00C70821" w:rsidP="00CC6DEA">
            <w:pPr>
              <w:spacing w:before="40" w:after="40"/>
              <w:rPr>
                <w:rFonts w:ascii="Kohinoor Devanagari" w:hAnsi="Kohinoor Devanagari" w:cs="Kohinoor Devanagari"/>
                <w:b/>
                <w:bCs/>
                <w:color w:val="FFFFFF" w:themeColor="background1"/>
                <w:sz w:val="20"/>
                <w:szCs w:val="20"/>
                <w:lang w:eastAsia="fr-FR"/>
              </w:rPr>
            </w:pPr>
            <w:r w:rsidRPr="00C70821">
              <w:rPr>
                <w:rFonts w:ascii="Kohinoor Devanagari" w:hAnsi="Kohinoor Devanagari" w:cs="Kohinoor Devanagari"/>
                <w:b/>
                <w:bCs/>
                <w:color w:val="FFFFFF" w:themeColor="background1"/>
                <w:sz w:val="20"/>
                <w:szCs w:val="20"/>
                <w:lang w:eastAsia="fr-FR"/>
              </w:rPr>
              <w:t>Actions recommandées</w:t>
            </w:r>
          </w:p>
        </w:tc>
      </w:tr>
      <w:tr w:rsidR="00CC6DEA" w:rsidRPr="00C70821" w14:paraId="086E47C4" w14:textId="77777777" w:rsidTr="00940B91">
        <w:tc>
          <w:tcPr>
            <w:tcW w:w="0" w:type="auto"/>
            <w:hideMark/>
          </w:tcPr>
          <w:p w14:paraId="23A05888"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b/>
                <w:bCs/>
                <w:sz w:val="20"/>
                <w:szCs w:val="20"/>
                <w:lang w:eastAsia="fr-FR"/>
              </w:rPr>
              <w:t>(i) Sous-utilisation de l’espace civique</w:t>
            </w:r>
          </w:p>
        </w:tc>
        <w:tc>
          <w:tcPr>
            <w:tcW w:w="0" w:type="auto"/>
            <w:hideMark/>
          </w:tcPr>
          <w:p w14:paraId="59711AF8"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Réduction du rôle de la société civile dans la gouvernance ITIE et perte de contrôle citoyen.</w:t>
            </w:r>
          </w:p>
        </w:tc>
        <w:tc>
          <w:tcPr>
            <w:tcW w:w="0" w:type="auto"/>
            <w:hideMark/>
          </w:tcPr>
          <w:p w14:paraId="63247375"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 Garantir des mécanismes de consultation réguliers et inclusifs.</w:t>
            </w:r>
            <w:r w:rsidRPr="00C70821">
              <w:rPr>
                <w:rFonts w:ascii="Kohinoor Devanagari" w:hAnsi="Kohinoor Devanagari" w:cs="Kohinoor Devanagari"/>
                <w:sz w:val="20"/>
                <w:szCs w:val="20"/>
                <w:lang w:eastAsia="fr-FR"/>
              </w:rPr>
              <w:br/>
              <w:t>- Mettre en place des formations ciblées pour renforcer la capacité des OSC à exploiter les données ITIE.</w:t>
            </w:r>
          </w:p>
        </w:tc>
      </w:tr>
      <w:tr w:rsidR="00CC6DEA" w:rsidRPr="00C70821" w14:paraId="6EFC075A" w14:textId="77777777" w:rsidTr="00940B91">
        <w:tc>
          <w:tcPr>
            <w:tcW w:w="0" w:type="auto"/>
            <w:shd w:val="clear" w:color="auto" w:fill="E2EFD9" w:themeFill="accent6" w:themeFillTint="33"/>
            <w:hideMark/>
          </w:tcPr>
          <w:p w14:paraId="09C3F223"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b/>
                <w:bCs/>
                <w:sz w:val="20"/>
                <w:szCs w:val="20"/>
                <w:lang w:eastAsia="fr-FR"/>
              </w:rPr>
              <w:t>(ii) Négligence des activités de communication</w:t>
            </w:r>
          </w:p>
        </w:tc>
        <w:tc>
          <w:tcPr>
            <w:tcW w:w="0" w:type="auto"/>
            <w:shd w:val="clear" w:color="auto" w:fill="E2EFD9" w:themeFill="accent6" w:themeFillTint="33"/>
            <w:hideMark/>
          </w:tcPr>
          <w:p w14:paraId="3D2CEA94"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Données publiées sans être vulgarisées ni diffusées efficacement.</w:t>
            </w:r>
          </w:p>
        </w:tc>
        <w:tc>
          <w:tcPr>
            <w:tcW w:w="0" w:type="auto"/>
            <w:shd w:val="clear" w:color="auto" w:fill="E2EFD9" w:themeFill="accent6" w:themeFillTint="33"/>
            <w:hideMark/>
          </w:tcPr>
          <w:p w14:paraId="7F2FFCA3"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 Développer des infographies, tableaux de bord et supports simplifiés.</w:t>
            </w:r>
            <w:r w:rsidRPr="00C70821">
              <w:rPr>
                <w:rFonts w:ascii="Kohinoor Devanagari" w:hAnsi="Kohinoor Devanagari" w:cs="Kohinoor Devanagari"/>
                <w:sz w:val="20"/>
                <w:szCs w:val="20"/>
                <w:lang w:eastAsia="fr-FR"/>
              </w:rPr>
              <w:br/>
              <w:t>- Intégrer un plan de communication parallèle aux activités de publication.</w:t>
            </w:r>
          </w:p>
        </w:tc>
      </w:tr>
      <w:tr w:rsidR="00CC6DEA" w:rsidRPr="00C70821" w14:paraId="4AB430C8" w14:textId="77777777" w:rsidTr="00940B91">
        <w:tc>
          <w:tcPr>
            <w:tcW w:w="0" w:type="auto"/>
            <w:hideMark/>
          </w:tcPr>
          <w:p w14:paraId="55B2F790"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b/>
                <w:bCs/>
                <w:sz w:val="20"/>
                <w:szCs w:val="20"/>
                <w:lang w:eastAsia="fr-FR"/>
              </w:rPr>
              <w:t>(iii) Qualité et fiabilité des données</w:t>
            </w:r>
          </w:p>
        </w:tc>
        <w:tc>
          <w:tcPr>
            <w:tcW w:w="0" w:type="auto"/>
            <w:hideMark/>
          </w:tcPr>
          <w:p w14:paraId="4DD0307E"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Risque de perte de crédibilité en cas d’absence de vérification indépendante.</w:t>
            </w:r>
          </w:p>
        </w:tc>
        <w:tc>
          <w:tcPr>
            <w:tcW w:w="0" w:type="auto"/>
            <w:hideMark/>
          </w:tcPr>
          <w:p w14:paraId="46E1422A"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 Mettre en place des protocoles d’assurance qualité des données publiées par les administrations.</w:t>
            </w:r>
            <w:r w:rsidRPr="00C70821">
              <w:rPr>
                <w:rFonts w:ascii="Kohinoor Devanagari" w:hAnsi="Kohinoor Devanagari" w:cs="Kohinoor Devanagari"/>
                <w:sz w:val="20"/>
                <w:szCs w:val="20"/>
                <w:lang w:eastAsia="fr-FR"/>
              </w:rPr>
              <w:br/>
              <w:t>- Prévoir une revue indépendante par le STP-ITIE.</w:t>
            </w:r>
          </w:p>
        </w:tc>
      </w:tr>
      <w:tr w:rsidR="00CC6DEA" w:rsidRPr="00C70821" w14:paraId="79CE2C0F" w14:textId="77777777" w:rsidTr="00940B91">
        <w:tc>
          <w:tcPr>
            <w:tcW w:w="0" w:type="auto"/>
            <w:shd w:val="clear" w:color="auto" w:fill="E2EFD9" w:themeFill="accent6" w:themeFillTint="33"/>
            <w:hideMark/>
          </w:tcPr>
          <w:p w14:paraId="7DC0353B"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b/>
                <w:bCs/>
                <w:sz w:val="20"/>
                <w:szCs w:val="20"/>
                <w:lang w:eastAsia="fr-FR"/>
              </w:rPr>
              <w:t>(iv) Accès limité aux zones rurales (fracture numérique)</w:t>
            </w:r>
          </w:p>
        </w:tc>
        <w:tc>
          <w:tcPr>
            <w:tcW w:w="0" w:type="auto"/>
            <w:shd w:val="clear" w:color="auto" w:fill="E2EFD9" w:themeFill="accent6" w:themeFillTint="33"/>
            <w:hideMark/>
          </w:tcPr>
          <w:p w14:paraId="51C70AB3"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Exclusion des communautés locales sans accès Internet.</w:t>
            </w:r>
          </w:p>
        </w:tc>
        <w:tc>
          <w:tcPr>
            <w:tcW w:w="0" w:type="auto"/>
            <w:shd w:val="clear" w:color="auto" w:fill="E2EFD9" w:themeFill="accent6" w:themeFillTint="33"/>
            <w:hideMark/>
          </w:tcPr>
          <w:p w14:paraId="5BF24F04"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 Combiner publication numérique et supports hors ligne (brochures, radios locales).</w:t>
            </w:r>
            <w:r w:rsidRPr="00C70821">
              <w:rPr>
                <w:rFonts w:ascii="Kohinoor Devanagari" w:hAnsi="Kohinoor Devanagari" w:cs="Kohinoor Devanagari"/>
                <w:sz w:val="20"/>
                <w:szCs w:val="20"/>
                <w:lang w:eastAsia="fr-FR"/>
              </w:rPr>
              <w:br/>
              <w:t>- Organiser des séances d’information communautaires.</w:t>
            </w:r>
          </w:p>
        </w:tc>
      </w:tr>
      <w:tr w:rsidR="00CC6DEA" w:rsidRPr="00C70821" w14:paraId="6693D01A" w14:textId="77777777" w:rsidTr="00940B91">
        <w:tc>
          <w:tcPr>
            <w:tcW w:w="0" w:type="auto"/>
            <w:hideMark/>
          </w:tcPr>
          <w:p w14:paraId="757D32F5"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b/>
                <w:bCs/>
                <w:sz w:val="20"/>
                <w:szCs w:val="20"/>
                <w:lang w:eastAsia="fr-FR"/>
              </w:rPr>
              <w:t>(v) Résistance institutionnelle au changement</w:t>
            </w:r>
          </w:p>
        </w:tc>
        <w:tc>
          <w:tcPr>
            <w:tcW w:w="0" w:type="auto"/>
            <w:hideMark/>
          </w:tcPr>
          <w:p w14:paraId="5F18D66A"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Faible engagement des producteurs de données et lenteur dans l’intégration des systèmes.</w:t>
            </w:r>
          </w:p>
        </w:tc>
        <w:tc>
          <w:tcPr>
            <w:tcW w:w="0" w:type="auto"/>
            <w:hideMark/>
          </w:tcPr>
          <w:p w14:paraId="56E6929F"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 Mettre en place un cadre juridique contraignant pour la divulgation systématique.</w:t>
            </w:r>
            <w:r w:rsidRPr="00C70821">
              <w:rPr>
                <w:rFonts w:ascii="Kohinoor Devanagari" w:hAnsi="Kohinoor Devanagari" w:cs="Kohinoor Devanagari"/>
                <w:sz w:val="20"/>
                <w:szCs w:val="20"/>
                <w:lang w:eastAsia="fr-FR"/>
              </w:rPr>
              <w:br/>
              <w:t>- Créer un comité interinstitutionnel de pilotage technique.</w:t>
            </w:r>
          </w:p>
        </w:tc>
      </w:tr>
      <w:tr w:rsidR="00CC6DEA" w:rsidRPr="00C70821" w14:paraId="757F4315" w14:textId="77777777" w:rsidTr="00940B91">
        <w:tc>
          <w:tcPr>
            <w:tcW w:w="0" w:type="auto"/>
            <w:shd w:val="clear" w:color="auto" w:fill="E2EFD9" w:themeFill="accent6" w:themeFillTint="33"/>
            <w:hideMark/>
          </w:tcPr>
          <w:p w14:paraId="4FA35654"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b/>
                <w:bCs/>
                <w:sz w:val="20"/>
                <w:szCs w:val="20"/>
                <w:lang w:eastAsia="fr-FR"/>
              </w:rPr>
              <w:t>(vi) Pérennité de l’ITIE</w:t>
            </w:r>
          </w:p>
        </w:tc>
        <w:tc>
          <w:tcPr>
            <w:tcW w:w="0" w:type="auto"/>
            <w:shd w:val="clear" w:color="auto" w:fill="E2EFD9" w:themeFill="accent6" w:themeFillTint="33"/>
            <w:hideMark/>
          </w:tcPr>
          <w:p w14:paraId="4833A909" w14:textId="77777777"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t xml:space="preserve">Risque de perte de valeur ajoutée si les données ne </w:t>
            </w:r>
            <w:r w:rsidRPr="00C70821">
              <w:rPr>
                <w:rFonts w:ascii="Kohinoor Devanagari" w:hAnsi="Kohinoor Devanagari" w:cs="Kohinoor Devanagari"/>
                <w:sz w:val="20"/>
                <w:szCs w:val="20"/>
                <w:lang w:eastAsia="fr-FR"/>
              </w:rPr>
              <w:lastRenderedPageBreak/>
              <w:t>sont pas utilisées pour des réformes.</w:t>
            </w:r>
          </w:p>
        </w:tc>
        <w:tc>
          <w:tcPr>
            <w:tcW w:w="0" w:type="auto"/>
            <w:shd w:val="clear" w:color="auto" w:fill="E2EFD9" w:themeFill="accent6" w:themeFillTint="33"/>
            <w:hideMark/>
          </w:tcPr>
          <w:p w14:paraId="00E893EB" w14:textId="3C43FBB6" w:rsidR="00C70821" w:rsidRPr="00C70821" w:rsidRDefault="00C70821" w:rsidP="00CC6DEA">
            <w:pPr>
              <w:spacing w:before="40" w:after="40"/>
              <w:rPr>
                <w:rFonts w:ascii="Kohinoor Devanagari" w:hAnsi="Kohinoor Devanagari" w:cs="Kohinoor Devanagari"/>
                <w:sz w:val="20"/>
                <w:szCs w:val="20"/>
                <w:lang w:eastAsia="fr-FR"/>
              </w:rPr>
            </w:pPr>
            <w:r w:rsidRPr="00C70821">
              <w:rPr>
                <w:rFonts w:ascii="Kohinoor Devanagari" w:hAnsi="Kohinoor Devanagari" w:cs="Kohinoor Devanagari"/>
                <w:sz w:val="20"/>
                <w:szCs w:val="20"/>
                <w:lang w:eastAsia="fr-FR"/>
              </w:rPr>
              <w:lastRenderedPageBreak/>
              <w:t>- Intégrer des indicateurs de performance et d’analyse dans les plans de travail ITIE.</w:t>
            </w:r>
            <w:r w:rsidRPr="00C70821">
              <w:rPr>
                <w:rFonts w:ascii="Kohinoor Devanagari" w:hAnsi="Kohinoor Devanagari" w:cs="Kohinoor Devanagari"/>
                <w:sz w:val="20"/>
                <w:szCs w:val="20"/>
                <w:lang w:eastAsia="fr-FR"/>
              </w:rPr>
              <w:br/>
            </w:r>
            <w:r w:rsidRPr="00C70821">
              <w:rPr>
                <w:rFonts w:ascii="Kohinoor Devanagari" w:hAnsi="Kohinoor Devanagari" w:cs="Kohinoor Devanagari"/>
                <w:sz w:val="20"/>
                <w:szCs w:val="20"/>
                <w:lang w:eastAsia="fr-FR"/>
              </w:rPr>
              <w:lastRenderedPageBreak/>
              <w:t xml:space="preserve">- Valoriser les données par des analyses </w:t>
            </w:r>
            <w:r w:rsidR="008F633F" w:rsidRPr="00CC6DEA">
              <w:rPr>
                <w:rFonts w:ascii="Kohinoor Devanagari" w:hAnsi="Kohinoor Devanagari" w:cs="Kohinoor Devanagari"/>
                <w:sz w:val="20"/>
                <w:szCs w:val="20"/>
                <w:lang w:eastAsia="fr-FR"/>
              </w:rPr>
              <w:t xml:space="preserve">et études </w:t>
            </w:r>
            <w:r w:rsidRPr="00C70821">
              <w:rPr>
                <w:rFonts w:ascii="Kohinoor Devanagari" w:hAnsi="Kohinoor Devanagari" w:cs="Kohinoor Devanagari"/>
                <w:sz w:val="20"/>
                <w:szCs w:val="20"/>
                <w:lang w:eastAsia="fr-FR"/>
              </w:rPr>
              <w:t>thématiques régulières.</w:t>
            </w:r>
          </w:p>
        </w:tc>
      </w:tr>
    </w:tbl>
    <w:p w14:paraId="4BA42438" w14:textId="1B96767D" w:rsidR="00D16454" w:rsidRPr="00CC6DEA" w:rsidRDefault="00D203AA" w:rsidP="001059BE">
      <w:pPr>
        <w:pStyle w:val="Titre2"/>
        <w:numPr>
          <w:ilvl w:val="1"/>
          <w:numId w:val="9"/>
        </w:numPr>
        <w:spacing w:before="180" w:after="180"/>
        <w:ind w:left="567" w:hanging="567"/>
        <w:rPr>
          <w:rFonts w:ascii="Kohinoor Devanagari" w:eastAsia="Times New Roman" w:hAnsi="Kohinoor Devanagari" w:cs="Kohinoor Devanagari"/>
          <w:b/>
          <w:bCs/>
          <w:color w:val="000000" w:themeColor="text1"/>
          <w:sz w:val="20"/>
          <w:szCs w:val="20"/>
          <w:lang w:eastAsia="fr-FR"/>
        </w:rPr>
      </w:pPr>
      <w:bookmarkStart w:id="38" w:name="_Toc204691625"/>
      <w:r w:rsidRPr="00CC6DEA">
        <w:rPr>
          <w:rFonts w:ascii="Kohinoor Devanagari" w:eastAsia="Times New Roman" w:hAnsi="Kohinoor Devanagari" w:cs="Kohinoor Devanagari"/>
          <w:b/>
          <w:bCs/>
          <w:color w:val="000000" w:themeColor="text1"/>
          <w:sz w:val="20"/>
          <w:szCs w:val="20"/>
          <w:lang w:eastAsia="fr-FR"/>
        </w:rPr>
        <w:lastRenderedPageBreak/>
        <w:t>Opportunités</w:t>
      </w:r>
      <w:r w:rsidR="00D16454" w:rsidRPr="00CC6DEA">
        <w:rPr>
          <w:rFonts w:ascii="Kohinoor Devanagari" w:eastAsia="Times New Roman" w:hAnsi="Kohinoor Devanagari" w:cs="Kohinoor Devanagari"/>
          <w:b/>
          <w:bCs/>
          <w:color w:val="000000" w:themeColor="text1"/>
          <w:sz w:val="20"/>
          <w:szCs w:val="20"/>
          <w:lang w:eastAsia="fr-FR"/>
        </w:rPr>
        <w:t xml:space="preserve"> liées à l’intégration</w:t>
      </w:r>
      <w:r w:rsidRPr="00CC6DEA">
        <w:rPr>
          <w:rFonts w:ascii="Kohinoor Devanagari" w:eastAsia="Times New Roman" w:hAnsi="Kohinoor Devanagari" w:cs="Kohinoor Devanagari"/>
          <w:b/>
          <w:bCs/>
          <w:color w:val="000000" w:themeColor="text1"/>
          <w:sz w:val="20"/>
          <w:szCs w:val="20"/>
          <w:lang w:eastAsia="fr-FR"/>
        </w:rPr>
        <w:t xml:space="preserve"> ITIE</w:t>
      </w:r>
      <w:bookmarkEnd w:id="38"/>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612"/>
        <w:gridCol w:w="3315"/>
        <w:gridCol w:w="3411"/>
      </w:tblGrid>
      <w:tr w:rsidR="00242BEE" w:rsidRPr="00CC6DEA" w14:paraId="409C66CA" w14:textId="77777777" w:rsidTr="00940B91">
        <w:tc>
          <w:tcPr>
            <w:tcW w:w="0" w:type="auto"/>
            <w:shd w:val="clear" w:color="auto" w:fill="47626F"/>
            <w:hideMark/>
          </w:tcPr>
          <w:p w14:paraId="2C40890F" w14:textId="77777777" w:rsidR="00242BEE" w:rsidRPr="00242BEE" w:rsidRDefault="00242BEE" w:rsidP="00381F7A">
            <w:pPr>
              <w:spacing w:before="40" w:after="40"/>
              <w:rPr>
                <w:rFonts w:ascii="Kohinoor Devanagari" w:hAnsi="Kohinoor Devanagari" w:cs="Kohinoor Devanagari"/>
                <w:b/>
                <w:bCs/>
                <w:color w:val="FFFFFF" w:themeColor="background1"/>
                <w:sz w:val="20"/>
                <w:szCs w:val="20"/>
              </w:rPr>
            </w:pPr>
            <w:r w:rsidRPr="00242BEE">
              <w:rPr>
                <w:rFonts w:ascii="Kohinoor Devanagari" w:hAnsi="Kohinoor Devanagari" w:cs="Kohinoor Devanagari"/>
                <w:b/>
                <w:bCs/>
                <w:color w:val="FFFFFF" w:themeColor="background1"/>
                <w:sz w:val="20"/>
                <w:szCs w:val="20"/>
              </w:rPr>
              <w:t>Opportunité identifiée</w:t>
            </w:r>
          </w:p>
        </w:tc>
        <w:tc>
          <w:tcPr>
            <w:tcW w:w="0" w:type="auto"/>
            <w:shd w:val="clear" w:color="auto" w:fill="47626F"/>
            <w:hideMark/>
          </w:tcPr>
          <w:p w14:paraId="42D6BEE5" w14:textId="77777777" w:rsidR="00242BEE" w:rsidRPr="00242BEE" w:rsidRDefault="00242BEE" w:rsidP="00381F7A">
            <w:pPr>
              <w:spacing w:before="40" w:after="40"/>
              <w:rPr>
                <w:rFonts w:ascii="Kohinoor Devanagari" w:hAnsi="Kohinoor Devanagari" w:cs="Kohinoor Devanagari"/>
                <w:b/>
                <w:bCs/>
                <w:color w:val="FFFFFF" w:themeColor="background1"/>
                <w:sz w:val="20"/>
                <w:szCs w:val="20"/>
              </w:rPr>
            </w:pPr>
            <w:r w:rsidRPr="00242BEE">
              <w:rPr>
                <w:rFonts w:ascii="Kohinoor Devanagari" w:hAnsi="Kohinoor Devanagari" w:cs="Kohinoor Devanagari"/>
                <w:b/>
                <w:bCs/>
                <w:color w:val="FFFFFF" w:themeColor="background1"/>
                <w:sz w:val="20"/>
                <w:szCs w:val="20"/>
              </w:rPr>
              <w:t>Bénéfices attendus</w:t>
            </w:r>
          </w:p>
        </w:tc>
        <w:tc>
          <w:tcPr>
            <w:tcW w:w="0" w:type="auto"/>
            <w:shd w:val="clear" w:color="auto" w:fill="47626F"/>
            <w:hideMark/>
          </w:tcPr>
          <w:p w14:paraId="436624BE" w14:textId="77777777" w:rsidR="00242BEE" w:rsidRPr="00242BEE" w:rsidRDefault="00242BEE" w:rsidP="00381F7A">
            <w:pPr>
              <w:spacing w:before="40" w:after="40"/>
              <w:rPr>
                <w:rFonts w:ascii="Kohinoor Devanagari" w:hAnsi="Kohinoor Devanagari" w:cs="Kohinoor Devanagari"/>
                <w:b/>
                <w:bCs/>
                <w:color w:val="FFFFFF" w:themeColor="background1"/>
                <w:sz w:val="20"/>
                <w:szCs w:val="20"/>
              </w:rPr>
            </w:pPr>
            <w:r w:rsidRPr="00242BEE">
              <w:rPr>
                <w:rFonts w:ascii="Kohinoor Devanagari" w:hAnsi="Kohinoor Devanagari" w:cs="Kohinoor Devanagari"/>
                <w:b/>
                <w:bCs/>
                <w:color w:val="FFFFFF" w:themeColor="background1"/>
                <w:sz w:val="20"/>
                <w:szCs w:val="20"/>
              </w:rPr>
              <w:t>Actions pour en tirer parti</w:t>
            </w:r>
          </w:p>
        </w:tc>
      </w:tr>
      <w:tr w:rsidR="00242BEE" w:rsidRPr="00242BEE" w14:paraId="48E65CC1" w14:textId="77777777" w:rsidTr="00940B91">
        <w:tc>
          <w:tcPr>
            <w:tcW w:w="0" w:type="auto"/>
            <w:hideMark/>
          </w:tcPr>
          <w:p w14:paraId="4B201E16" w14:textId="77777777" w:rsidR="00242BEE" w:rsidRPr="00242BEE" w:rsidRDefault="00242BEE" w:rsidP="00381F7A">
            <w:pPr>
              <w:spacing w:before="40" w:after="40"/>
              <w:rPr>
                <w:rFonts w:ascii="Kohinoor Devanagari" w:hAnsi="Kohinoor Devanagari" w:cs="Kohinoor Devanagari"/>
                <w:b/>
                <w:bCs/>
                <w:color w:val="000000" w:themeColor="text1"/>
                <w:sz w:val="20"/>
                <w:szCs w:val="20"/>
              </w:rPr>
            </w:pPr>
            <w:r w:rsidRPr="00242BEE">
              <w:rPr>
                <w:rFonts w:ascii="Kohinoor Devanagari" w:hAnsi="Kohinoor Devanagari" w:cs="Kohinoor Devanagari"/>
                <w:b/>
                <w:bCs/>
                <w:color w:val="000000" w:themeColor="text1"/>
                <w:sz w:val="20"/>
                <w:szCs w:val="20"/>
              </w:rPr>
              <w:t>(i) Données plus actuelles et pertinentes</w:t>
            </w:r>
          </w:p>
        </w:tc>
        <w:tc>
          <w:tcPr>
            <w:tcW w:w="0" w:type="auto"/>
            <w:hideMark/>
          </w:tcPr>
          <w:p w14:paraId="2A2F0F81"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Amélioration de la qualité de la gouvernance sectorielle grâce à des informations à jour.</w:t>
            </w:r>
          </w:p>
        </w:tc>
        <w:tc>
          <w:tcPr>
            <w:tcW w:w="0" w:type="auto"/>
            <w:hideMark/>
          </w:tcPr>
          <w:p w14:paraId="6A7295B6"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 Publier trimestriellement des jeux de données (production, fiscalité, environnement).</w:t>
            </w:r>
          </w:p>
        </w:tc>
      </w:tr>
      <w:tr w:rsidR="00242BEE" w:rsidRPr="00242BEE" w14:paraId="74AA079D" w14:textId="77777777" w:rsidTr="00940B91">
        <w:tc>
          <w:tcPr>
            <w:tcW w:w="0" w:type="auto"/>
            <w:shd w:val="clear" w:color="auto" w:fill="E2EFD9" w:themeFill="accent6" w:themeFillTint="33"/>
            <w:hideMark/>
          </w:tcPr>
          <w:p w14:paraId="488138B2" w14:textId="77777777" w:rsidR="00242BEE" w:rsidRPr="00242BEE" w:rsidRDefault="00242BEE" w:rsidP="00381F7A">
            <w:pPr>
              <w:spacing w:before="40" w:after="40"/>
              <w:rPr>
                <w:rFonts w:ascii="Kohinoor Devanagari" w:hAnsi="Kohinoor Devanagari" w:cs="Kohinoor Devanagari"/>
                <w:b/>
                <w:bCs/>
                <w:color w:val="000000" w:themeColor="text1"/>
                <w:sz w:val="20"/>
                <w:szCs w:val="20"/>
              </w:rPr>
            </w:pPr>
            <w:r w:rsidRPr="00242BEE">
              <w:rPr>
                <w:rFonts w:ascii="Kohinoor Devanagari" w:hAnsi="Kohinoor Devanagari" w:cs="Kohinoor Devanagari"/>
                <w:b/>
                <w:bCs/>
                <w:color w:val="000000" w:themeColor="text1"/>
                <w:sz w:val="20"/>
                <w:szCs w:val="20"/>
              </w:rPr>
              <w:t>(ii) Transfert de responsabilité vers les producteurs primaires</w:t>
            </w:r>
          </w:p>
        </w:tc>
        <w:tc>
          <w:tcPr>
            <w:tcW w:w="0" w:type="auto"/>
            <w:shd w:val="clear" w:color="auto" w:fill="E2EFD9" w:themeFill="accent6" w:themeFillTint="33"/>
            <w:hideMark/>
          </w:tcPr>
          <w:p w14:paraId="2068E3AD"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Réduction des délais et renforcement de la fiabilité des données.</w:t>
            </w:r>
          </w:p>
        </w:tc>
        <w:tc>
          <w:tcPr>
            <w:tcW w:w="0" w:type="auto"/>
            <w:shd w:val="clear" w:color="auto" w:fill="E2EFD9" w:themeFill="accent6" w:themeFillTint="33"/>
            <w:hideMark/>
          </w:tcPr>
          <w:p w14:paraId="72F3239C"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 Formaliser des accords d’échange de données (MINFI, MINMIDT, SNH, INS).</w:t>
            </w:r>
          </w:p>
        </w:tc>
      </w:tr>
      <w:tr w:rsidR="00242BEE" w:rsidRPr="00242BEE" w14:paraId="115567CD" w14:textId="77777777" w:rsidTr="00940B91">
        <w:tc>
          <w:tcPr>
            <w:tcW w:w="0" w:type="auto"/>
            <w:hideMark/>
          </w:tcPr>
          <w:p w14:paraId="39F2FA43" w14:textId="77777777" w:rsidR="00242BEE" w:rsidRPr="00242BEE" w:rsidRDefault="00242BEE" w:rsidP="00381F7A">
            <w:pPr>
              <w:spacing w:before="40" w:after="40"/>
              <w:rPr>
                <w:rFonts w:ascii="Kohinoor Devanagari" w:hAnsi="Kohinoor Devanagari" w:cs="Kohinoor Devanagari"/>
                <w:b/>
                <w:bCs/>
                <w:color w:val="000000" w:themeColor="text1"/>
                <w:sz w:val="20"/>
                <w:szCs w:val="20"/>
              </w:rPr>
            </w:pPr>
            <w:r w:rsidRPr="00242BEE">
              <w:rPr>
                <w:rFonts w:ascii="Kohinoor Devanagari" w:hAnsi="Kohinoor Devanagari" w:cs="Kohinoor Devanagari"/>
                <w:b/>
                <w:bCs/>
                <w:color w:val="000000" w:themeColor="text1"/>
                <w:sz w:val="20"/>
                <w:szCs w:val="20"/>
              </w:rPr>
              <w:t>(iii) Réorientation vers l’analyse et les réformes</w:t>
            </w:r>
          </w:p>
        </w:tc>
        <w:tc>
          <w:tcPr>
            <w:tcW w:w="0" w:type="auto"/>
            <w:hideMark/>
          </w:tcPr>
          <w:p w14:paraId="3977A94B"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Plus de temps pour l’analyse et la formulation de recommandations.</w:t>
            </w:r>
          </w:p>
        </w:tc>
        <w:tc>
          <w:tcPr>
            <w:tcW w:w="0" w:type="auto"/>
            <w:hideMark/>
          </w:tcPr>
          <w:p w14:paraId="3EA66AA1"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 Mettre en place un tableau de bord analytique et des rapports thématiques sectoriels.</w:t>
            </w:r>
          </w:p>
        </w:tc>
      </w:tr>
      <w:tr w:rsidR="00242BEE" w:rsidRPr="00242BEE" w14:paraId="287E1853" w14:textId="77777777" w:rsidTr="00940B91">
        <w:tc>
          <w:tcPr>
            <w:tcW w:w="0" w:type="auto"/>
            <w:shd w:val="clear" w:color="auto" w:fill="E2EFD9" w:themeFill="accent6" w:themeFillTint="33"/>
            <w:hideMark/>
          </w:tcPr>
          <w:p w14:paraId="147BD7A0" w14:textId="77777777" w:rsidR="00242BEE" w:rsidRPr="00242BEE" w:rsidRDefault="00242BEE" w:rsidP="00381F7A">
            <w:pPr>
              <w:spacing w:before="40" w:after="40"/>
              <w:rPr>
                <w:rFonts w:ascii="Kohinoor Devanagari" w:hAnsi="Kohinoor Devanagari" w:cs="Kohinoor Devanagari"/>
                <w:b/>
                <w:bCs/>
                <w:color w:val="000000" w:themeColor="text1"/>
                <w:sz w:val="20"/>
                <w:szCs w:val="20"/>
              </w:rPr>
            </w:pPr>
            <w:r w:rsidRPr="00242BEE">
              <w:rPr>
                <w:rFonts w:ascii="Kohinoor Devanagari" w:hAnsi="Kohinoor Devanagari" w:cs="Kohinoor Devanagari"/>
                <w:b/>
                <w:bCs/>
                <w:color w:val="000000" w:themeColor="text1"/>
                <w:sz w:val="20"/>
                <w:szCs w:val="20"/>
              </w:rPr>
              <w:t>(iv) Potentiel d’innovation et de communication</w:t>
            </w:r>
          </w:p>
        </w:tc>
        <w:tc>
          <w:tcPr>
            <w:tcW w:w="0" w:type="auto"/>
            <w:shd w:val="clear" w:color="auto" w:fill="E2EFD9" w:themeFill="accent6" w:themeFillTint="33"/>
            <w:hideMark/>
          </w:tcPr>
          <w:p w14:paraId="6E0BD8C8"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Création de plateformes interactives pour impliquer le citoyen.</w:t>
            </w:r>
          </w:p>
        </w:tc>
        <w:tc>
          <w:tcPr>
            <w:tcW w:w="0" w:type="auto"/>
            <w:shd w:val="clear" w:color="auto" w:fill="E2EFD9" w:themeFill="accent6" w:themeFillTint="33"/>
            <w:hideMark/>
          </w:tcPr>
          <w:p w14:paraId="578871AF"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 Développer des outils open data, des API et des interfaces mobiles pour les données ITIE.</w:t>
            </w:r>
          </w:p>
        </w:tc>
      </w:tr>
      <w:tr w:rsidR="00242BEE" w:rsidRPr="00242BEE" w14:paraId="54BC8F62" w14:textId="77777777" w:rsidTr="00940B91">
        <w:tc>
          <w:tcPr>
            <w:tcW w:w="0" w:type="auto"/>
            <w:hideMark/>
          </w:tcPr>
          <w:p w14:paraId="0877E227" w14:textId="77777777" w:rsidR="00242BEE" w:rsidRPr="00242BEE" w:rsidRDefault="00242BEE" w:rsidP="00381F7A">
            <w:pPr>
              <w:spacing w:before="40" w:after="40"/>
              <w:rPr>
                <w:rFonts w:ascii="Kohinoor Devanagari" w:hAnsi="Kohinoor Devanagari" w:cs="Kohinoor Devanagari"/>
                <w:b/>
                <w:bCs/>
                <w:color w:val="000000" w:themeColor="text1"/>
                <w:sz w:val="20"/>
                <w:szCs w:val="20"/>
              </w:rPr>
            </w:pPr>
            <w:r w:rsidRPr="00242BEE">
              <w:rPr>
                <w:rFonts w:ascii="Kohinoor Devanagari" w:hAnsi="Kohinoor Devanagari" w:cs="Kohinoor Devanagari"/>
                <w:b/>
                <w:bCs/>
                <w:color w:val="000000" w:themeColor="text1"/>
                <w:sz w:val="20"/>
                <w:szCs w:val="20"/>
              </w:rPr>
              <w:t>(v) Renforcement du rôle d’évaluation des politiques</w:t>
            </w:r>
          </w:p>
        </w:tc>
        <w:tc>
          <w:tcPr>
            <w:tcW w:w="0" w:type="auto"/>
            <w:hideMark/>
          </w:tcPr>
          <w:p w14:paraId="7A2B95E8" w14:textId="790F7565"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 xml:space="preserve">Amélioration de la redevabilité des </w:t>
            </w:r>
            <w:r w:rsidR="004C29EC" w:rsidRPr="00CC6DEA">
              <w:rPr>
                <w:rFonts w:ascii="Kohinoor Devanagari" w:hAnsi="Kohinoor Devanagari" w:cs="Kohinoor Devanagari"/>
                <w:color w:val="000000" w:themeColor="text1"/>
                <w:sz w:val="20"/>
                <w:szCs w:val="20"/>
              </w:rPr>
              <w:t>entreprises d’Etat</w:t>
            </w:r>
            <w:r w:rsidRPr="00242BEE">
              <w:rPr>
                <w:rFonts w:ascii="Kohinoor Devanagari" w:hAnsi="Kohinoor Devanagari" w:cs="Kohinoor Devanagari"/>
                <w:color w:val="000000" w:themeColor="text1"/>
                <w:sz w:val="20"/>
                <w:szCs w:val="20"/>
              </w:rPr>
              <w:t xml:space="preserve"> et des administrations.</w:t>
            </w:r>
          </w:p>
        </w:tc>
        <w:tc>
          <w:tcPr>
            <w:tcW w:w="0" w:type="auto"/>
            <w:hideMark/>
          </w:tcPr>
          <w:p w14:paraId="7522D7C5" w14:textId="77777777" w:rsidR="00242BEE" w:rsidRPr="00242BEE" w:rsidRDefault="00242BEE" w:rsidP="00381F7A">
            <w:pPr>
              <w:spacing w:before="40" w:after="40"/>
              <w:rPr>
                <w:rFonts w:ascii="Kohinoor Devanagari" w:hAnsi="Kohinoor Devanagari" w:cs="Kohinoor Devanagari"/>
                <w:color w:val="000000" w:themeColor="text1"/>
                <w:sz w:val="20"/>
                <w:szCs w:val="20"/>
              </w:rPr>
            </w:pPr>
            <w:r w:rsidRPr="00242BEE">
              <w:rPr>
                <w:rFonts w:ascii="Kohinoor Devanagari" w:hAnsi="Kohinoor Devanagari" w:cs="Kohinoor Devanagari"/>
                <w:color w:val="000000" w:themeColor="text1"/>
                <w:sz w:val="20"/>
                <w:szCs w:val="20"/>
              </w:rPr>
              <w:t>- Publier des indicateurs de conformité fiscale et environnementale.</w:t>
            </w:r>
            <w:r w:rsidRPr="00242BEE">
              <w:rPr>
                <w:rFonts w:ascii="Kohinoor Devanagari" w:hAnsi="Kohinoor Devanagari" w:cs="Kohinoor Devanagari"/>
                <w:color w:val="000000" w:themeColor="text1"/>
                <w:sz w:val="20"/>
                <w:szCs w:val="20"/>
              </w:rPr>
              <w:br/>
              <w:t>- Intégrer l’ITIE dans les outils de suivi budgétaire et de performance.</w:t>
            </w:r>
          </w:p>
        </w:tc>
      </w:tr>
    </w:tbl>
    <w:p w14:paraId="23FF02AC" w14:textId="77777777" w:rsidR="00242BEE" w:rsidRPr="00CC6DEA" w:rsidRDefault="00242BEE">
      <w:pPr>
        <w:rPr>
          <w:rFonts w:ascii="Kohinoor Devanagari" w:hAnsi="Kohinoor Devanagari" w:cs="Kohinoor Devanagari"/>
          <w:b/>
          <w:bCs/>
          <w:color w:val="000000" w:themeColor="text1"/>
          <w:sz w:val="20"/>
          <w:szCs w:val="20"/>
          <w:highlight w:val="red"/>
        </w:rPr>
      </w:pPr>
    </w:p>
    <w:p w14:paraId="0BC97A99" w14:textId="74BA23DE" w:rsidR="007E7299" w:rsidRPr="009B3188" w:rsidRDefault="007E7299">
      <w:pPr>
        <w:rPr>
          <w:rFonts w:ascii="Kohinoor Devanagari" w:hAnsi="Kohinoor Devanagari" w:cs="Kohinoor Devanagari"/>
          <w:b/>
          <w:bCs/>
          <w:color w:val="000000" w:themeColor="text1"/>
          <w:highlight w:val="red"/>
        </w:rPr>
      </w:pPr>
      <w:r w:rsidRPr="009B3188">
        <w:rPr>
          <w:rFonts w:ascii="Kohinoor Devanagari" w:hAnsi="Kohinoor Devanagari" w:cs="Kohinoor Devanagari"/>
          <w:b/>
          <w:bCs/>
          <w:color w:val="000000" w:themeColor="text1"/>
          <w:highlight w:val="red"/>
        </w:rPr>
        <w:br w:type="page"/>
      </w:r>
    </w:p>
    <w:p w14:paraId="6FBBF335" w14:textId="6C82DE8D" w:rsidR="001D7C3C" w:rsidRPr="009B3188" w:rsidRDefault="001D7C3C" w:rsidP="005A1C57">
      <w:pPr>
        <w:rPr>
          <w:rFonts w:ascii="Kohinoor Devanagari" w:eastAsiaTheme="majorEastAsia" w:hAnsi="Kohinoor Devanagari" w:cs="Kohinoor Devanagari"/>
          <w:b/>
          <w:bCs/>
          <w:color w:val="FFFFFF" w:themeColor="background1"/>
          <w:sz w:val="26"/>
          <w:szCs w:val="26"/>
        </w:rPr>
      </w:pPr>
    </w:p>
    <w:p w14:paraId="606C6392" w14:textId="0DF47619" w:rsidR="00D85F7F" w:rsidRPr="009B3188" w:rsidRDefault="002D3064" w:rsidP="001059BE">
      <w:pPr>
        <w:pStyle w:val="Titre1"/>
        <w:numPr>
          <w:ilvl w:val="0"/>
          <w:numId w:val="9"/>
        </w:numPr>
        <w:shd w:val="clear" w:color="auto" w:fill="61BC4D"/>
        <w:spacing w:before="180" w:after="180"/>
        <w:ind w:left="357" w:hanging="357"/>
        <w:rPr>
          <w:rFonts w:ascii="Kohinoor Devanagari" w:hAnsi="Kohinoor Devanagari" w:cs="Kohinoor Devanagari"/>
          <w:b/>
          <w:bCs/>
          <w:color w:val="FFFFFF" w:themeColor="background1"/>
          <w:sz w:val="26"/>
          <w:szCs w:val="26"/>
        </w:rPr>
      </w:pPr>
      <w:bookmarkStart w:id="39" w:name="_Toc204691626"/>
      <w:r w:rsidRPr="009B3188">
        <w:rPr>
          <w:rFonts w:ascii="Kohinoor Devanagari" w:hAnsi="Kohinoor Devanagari" w:cs="Kohinoor Devanagari"/>
          <w:b/>
          <w:bCs/>
          <w:color w:val="FFFFFF" w:themeColor="background1"/>
          <w:sz w:val="26"/>
          <w:szCs w:val="26"/>
        </w:rPr>
        <w:t>Approche pour la divulgation systématique des données</w:t>
      </w:r>
      <w:bookmarkEnd w:id="39"/>
    </w:p>
    <w:p w14:paraId="4A562A9A" w14:textId="087A64E5" w:rsidR="00992C87" w:rsidRPr="00CC6DEA" w:rsidRDefault="00992C87" w:rsidP="00CE3FC4">
      <w:pPr>
        <w:spacing w:before="120" w:after="120" w:line="240" w:lineRule="auto"/>
        <w:jc w:val="both"/>
        <w:rPr>
          <w:rFonts w:ascii="Kohinoor Devanagari" w:hAnsi="Kohinoor Devanagari" w:cs="Kohinoor Devanagari"/>
          <w:sz w:val="20"/>
          <w:szCs w:val="20"/>
          <w:shd w:val="clear" w:color="auto" w:fill="FFFFFF"/>
        </w:rPr>
      </w:pPr>
      <w:r w:rsidRPr="00CC6DEA">
        <w:rPr>
          <w:rFonts w:ascii="Kohinoor Devanagari" w:hAnsi="Kohinoor Devanagari" w:cs="Kohinoor Devanagari"/>
          <w:sz w:val="20"/>
          <w:szCs w:val="20"/>
          <w:shd w:val="clear" w:color="auto" w:fill="FFFFFF"/>
        </w:rPr>
        <w:t>La stratégie de divulgation systématique des données extractives vise à ancrer la transparence dans les systèmes gouvernementaux du Cameroun, tout en respectant les spécificités institutionnelles, les capacités techniques actuelles et les exigences de la Norme ITIE 2023. Cette approche progressive repose sur l’exploitation des plateformes existantes, le renforcement de la coordination interinstitutionnelle, et le développement d’outils techniques adaptés aux exigences de désagrégation, de traçabilité et d’accessibilité des données.</w:t>
      </w:r>
    </w:p>
    <w:p w14:paraId="34CFC6E8" w14:textId="20678D41" w:rsidR="000D7BE2" w:rsidRPr="000D7BE2" w:rsidRDefault="000D7BE2"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0" w:name="_Toc204691627"/>
      <w:r w:rsidRPr="000D7BE2">
        <w:rPr>
          <w:rFonts w:ascii="Kohinoor Devanagari" w:eastAsia="Times New Roman" w:hAnsi="Kohinoor Devanagari" w:cs="Kohinoor Devanagari"/>
          <w:b/>
          <w:bCs/>
          <w:color w:val="000000" w:themeColor="text1"/>
          <w:sz w:val="20"/>
          <w:szCs w:val="20"/>
          <w:lang w:eastAsia="fr-FR"/>
        </w:rPr>
        <w:t>Objectifs stratégiques et principes directeurs</w:t>
      </w:r>
      <w:bookmarkEnd w:id="40"/>
    </w:p>
    <w:p w14:paraId="220E77AB" w14:textId="77777777" w:rsidR="000D7BE2" w:rsidRPr="000D7BE2" w:rsidRDefault="000D7BE2" w:rsidP="00CE3FC4">
      <w:pPr>
        <w:spacing w:before="120" w:after="120" w:line="240" w:lineRule="auto"/>
        <w:jc w:val="both"/>
        <w:rPr>
          <w:rFonts w:ascii="Kohinoor Devanagari" w:hAnsi="Kohinoor Devanagari" w:cs="Kohinoor Devanagari"/>
          <w:sz w:val="20"/>
          <w:szCs w:val="20"/>
          <w:shd w:val="clear" w:color="auto" w:fill="FFFFFF"/>
        </w:rPr>
      </w:pPr>
      <w:r w:rsidRPr="000D7BE2">
        <w:rPr>
          <w:rFonts w:ascii="Kohinoor Devanagari" w:hAnsi="Kohinoor Devanagari" w:cs="Kohinoor Devanagari"/>
          <w:sz w:val="20"/>
          <w:szCs w:val="20"/>
          <w:shd w:val="clear" w:color="auto" w:fill="FFFFFF"/>
        </w:rPr>
        <w:t>La stratégie proposée s’articule autour des objectifs suivants :</w:t>
      </w:r>
    </w:p>
    <w:p w14:paraId="2011963E" w14:textId="77777777" w:rsidR="000D7BE2" w:rsidRPr="000D7BE2" w:rsidRDefault="000D7BE2" w:rsidP="001059BE">
      <w:pPr>
        <w:numPr>
          <w:ilvl w:val="0"/>
          <w:numId w:val="153"/>
        </w:numPr>
        <w:spacing w:before="120" w:after="120" w:line="240" w:lineRule="auto"/>
        <w:jc w:val="both"/>
        <w:rPr>
          <w:rFonts w:ascii="Kohinoor Devanagari" w:hAnsi="Kohinoor Devanagari" w:cs="Kohinoor Devanagari"/>
          <w:sz w:val="20"/>
          <w:szCs w:val="20"/>
          <w:shd w:val="clear" w:color="auto" w:fill="FFFFFF"/>
        </w:rPr>
      </w:pPr>
      <w:r w:rsidRPr="000D7BE2">
        <w:rPr>
          <w:rFonts w:ascii="Kohinoor Devanagari" w:hAnsi="Kohinoor Devanagari" w:cs="Kohinoor Devanagari"/>
          <w:b/>
          <w:bCs/>
          <w:sz w:val="20"/>
          <w:szCs w:val="20"/>
          <w:shd w:val="clear" w:color="auto" w:fill="FFFFFF"/>
        </w:rPr>
        <w:t>Renforcer la transparence et la redevabilité</w:t>
      </w:r>
      <w:r w:rsidRPr="000D7BE2">
        <w:rPr>
          <w:rFonts w:ascii="Kohinoor Devanagari" w:hAnsi="Kohinoor Devanagari" w:cs="Kohinoor Devanagari"/>
          <w:sz w:val="20"/>
          <w:szCs w:val="20"/>
          <w:shd w:val="clear" w:color="auto" w:fill="FFFFFF"/>
        </w:rPr>
        <w:t xml:space="preserve"> à travers une publication automatique, accessible et désagrégée des données sur les revenus extractifs.</w:t>
      </w:r>
    </w:p>
    <w:p w14:paraId="5DBD8810" w14:textId="77777777" w:rsidR="000D7BE2" w:rsidRPr="000D7BE2" w:rsidRDefault="000D7BE2" w:rsidP="001059BE">
      <w:pPr>
        <w:numPr>
          <w:ilvl w:val="0"/>
          <w:numId w:val="153"/>
        </w:numPr>
        <w:spacing w:before="120" w:after="120" w:line="240" w:lineRule="auto"/>
        <w:jc w:val="both"/>
        <w:rPr>
          <w:rFonts w:ascii="Kohinoor Devanagari" w:hAnsi="Kohinoor Devanagari" w:cs="Kohinoor Devanagari"/>
          <w:sz w:val="20"/>
          <w:szCs w:val="20"/>
          <w:shd w:val="clear" w:color="auto" w:fill="FFFFFF"/>
        </w:rPr>
      </w:pPr>
      <w:r w:rsidRPr="000D7BE2">
        <w:rPr>
          <w:rFonts w:ascii="Kohinoor Devanagari" w:hAnsi="Kohinoor Devanagari" w:cs="Kohinoor Devanagari"/>
          <w:b/>
          <w:bCs/>
          <w:sz w:val="20"/>
          <w:szCs w:val="20"/>
          <w:shd w:val="clear" w:color="auto" w:fill="FFFFFF"/>
        </w:rPr>
        <w:t>Intégrer les exigences ITIE dans les systèmes publics existants</w:t>
      </w:r>
      <w:r w:rsidRPr="000D7BE2">
        <w:rPr>
          <w:rFonts w:ascii="Kohinoor Devanagari" w:hAnsi="Kohinoor Devanagari" w:cs="Kohinoor Devanagari"/>
          <w:sz w:val="20"/>
          <w:szCs w:val="20"/>
          <w:shd w:val="clear" w:color="auto" w:fill="FFFFFF"/>
        </w:rPr>
        <w:t>, afin de garantir la pérennité de la divulgation au-delà des cycles de reporting manuel.</w:t>
      </w:r>
    </w:p>
    <w:p w14:paraId="4B19A8DA" w14:textId="77777777" w:rsidR="000D7BE2" w:rsidRPr="000D7BE2" w:rsidRDefault="000D7BE2" w:rsidP="001059BE">
      <w:pPr>
        <w:numPr>
          <w:ilvl w:val="0"/>
          <w:numId w:val="153"/>
        </w:numPr>
        <w:spacing w:before="120" w:after="120" w:line="240" w:lineRule="auto"/>
        <w:jc w:val="both"/>
        <w:rPr>
          <w:rFonts w:ascii="Kohinoor Devanagari" w:hAnsi="Kohinoor Devanagari" w:cs="Kohinoor Devanagari"/>
          <w:sz w:val="20"/>
          <w:szCs w:val="20"/>
          <w:shd w:val="clear" w:color="auto" w:fill="FFFFFF"/>
        </w:rPr>
      </w:pPr>
      <w:r w:rsidRPr="000D7BE2">
        <w:rPr>
          <w:rFonts w:ascii="Kohinoor Devanagari" w:hAnsi="Kohinoor Devanagari" w:cs="Kohinoor Devanagari"/>
          <w:b/>
          <w:bCs/>
          <w:sz w:val="20"/>
          <w:szCs w:val="20"/>
          <w:shd w:val="clear" w:color="auto" w:fill="FFFFFF"/>
        </w:rPr>
        <w:t>Améliorer la qualité, la fréquence et la traçabilité des données</w:t>
      </w:r>
      <w:r w:rsidRPr="000D7BE2">
        <w:rPr>
          <w:rFonts w:ascii="Kohinoor Devanagari" w:hAnsi="Kohinoor Devanagari" w:cs="Kohinoor Devanagari"/>
          <w:sz w:val="20"/>
          <w:szCs w:val="20"/>
          <w:shd w:val="clear" w:color="auto" w:fill="FFFFFF"/>
        </w:rPr>
        <w:t>, en s’appuyant sur des sources officielles vérifiables et interopérables.</w:t>
      </w:r>
    </w:p>
    <w:p w14:paraId="326F8146" w14:textId="77777777" w:rsidR="000D7BE2" w:rsidRDefault="000D7BE2" w:rsidP="001059BE">
      <w:pPr>
        <w:numPr>
          <w:ilvl w:val="0"/>
          <w:numId w:val="153"/>
        </w:numPr>
        <w:spacing w:before="120" w:after="120" w:line="240" w:lineRule="auto"/>
        <w:jc w:val="both"/>
        <w:rPr>
          <w:rFonts w:ascii="Kohinoor Devanagari" w:hAnsi="Kohinoor Devanagari" w:cs="Kohinoor Devanagari"/>
          <w:sz w:val="20"/>
          <w:szCs w:val="20"/>
          <w:shd w:val="clear" w:color="auto" w:fill="FFFFFF"/>
        </w:rPr>
      </w:pPr>
      <w:r w:rsidRPr="000D7BE2">
        <w:rPr>
          <w:rFonts w:ascii="Kohinoor Devanagari" w:hAnsi="Kohinoor Devanagari" w:cs="Kohinoor Devanagari"/>
          <w:b/>
          <w:bCs/>
          <w:sz w:val="20"/>
          <w:szCs w:val="20"/>
          <w:shd w:val="clear" w:color="auto" w:fill="FFFFFF"/>
        </w:rPr>
        <w:t>Promouvoir l’interconnexion des systèmes</w:t>
      </w:r>
      <w:r w:rsidRPr="000D7BE2">
        <w:rPr>
          <w:rFonts w:ascii="Kohinoor Devanagari" w:hAnsi="Kohinoor Devanagari" w:cs="Kohinoor Devanagari"/>
          <w:sz w:val="20"/>
          <w:szCs w:val="20"/>
          <w:shd w:val="clear" w:color="auto" w:fill="FFFFFF"/>
        </w:rPr>
        <w:t xml:space="preserve"> (fiscaux, comptables, juridiques, extractifs) et leur ouverture aux parties prenantes (citoyens, collectivités, OSC, entreprises).</w:t>
      </w:r>
    </w:p>
    <w:p w14:paraId="5CAA5635" w14:textId="0038E150" w:rsidR="001D53A2" w:rsidRPr="000D7BE2" w:rsidRDefault="001D53A2" w:rsidP="001D53A2">
      <w:pPr>
        <w:spacing w:before="120" w:after="120" w:line="240" w:lineRule="auto"/>
        <w:jc w:val="both"/>
        <w:rPr>
          <w:rFonts w:ascii="Kohinoor Devanagari" w:hAnsi="Kohinoor Devanagari" w:cs="Kohinoor Devanagari"/>
          <w:sz w:val="20"/>
          <w:szCs w:val="20"/>
          <w:shd w:val="clear" w:color="auto" w:fill="FFFFFF"/>
        </w:rPr>
      </w:pPr>
      <w:r w:rsidRPr="001D53A2">
        <w:rPr>
          <w:rFonts w:ascii="Kohinoor Devanagari" w:hAnsi="Kohinoor Devanagari" w:cs="Kohinoor Devanagari"/>
          <w:b/>
          <w:bCs/>
          <w:sz w:val="20"/>
          <w:szCs w:val="20"/>
          <w:shd w:val="clear" w:color="auto" w:fill="FFFFFF"/>
        </w:rPr>
        <w:t>Par ailleurs, la stratégie prévoit un accès libre et ouvert aux données dans des formats interopérables (CSV, JSON, API) afin d’en faciliter la réutilisation par une diversité d’acteurs.</w:t>
      </w:r>
    </w:p>
    <w:p w14:paraId="148E269D" w14:textId="40A9E9DF" w:rsidR="0067670E" w:rsidRPr="0067670E" w:rsidRDefault="0067670E"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1" w:name="_Toc204691628"/>
      <w:r w:rsidRPr="0067670E">
        <w:rPr>
          <w:rFonts w:ascii="Kohinoor Devanagari" w:eastAsia="Times New Roman" w:hAnsi="Kohinoor Devanagari" w:cs="Kohinoor Devanagari"/>
          <w:b/>
          <w:bCs/>
          <w:color w:val="000000" w:themeColor="text1"/>
          <w:sz w:val="20"/>
          <w:szCs w:val="20"/>
          <w:lang w:eastAsia="fr-FR"/>
        </w:rPr>
        <w:t>Bilan et leviers existants</w:t>
      </w:r>
      <w:bookmarkEnd w:id="41"/>
    </w:p>
    <w:p w14:paraId="46181CD6" w14:textId="77777777"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sz w:val="20"/>
          <w:szCs w:val="20"/>
          <w:shd w:val="clear" w:color="auto" w:fill="FFFFFF"/>
        </w:rPr>
        <w:t>Le Cameroun dispose déjà de plusieurs infrastructures numériques, mécanismes de collaboration interinstitutionnelle et initiatives de publication qui constituent un socle solide pour la mise en œuvre de la divulgation systématique. L’approche proposée s’appuie sur les synergies existantes entre ces systèmes, en vue d’une intégration progressive et interopérable des données du secteur extractif.</w:t>
      </w:r>
    </w:p>
    <w:p w14:paraId="26170813" w14:textId="0410BE11"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a) Système PATRIMONIE</w:t>
      </w:r>
      <w:r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 xml:space="preserve">Plateforme centrale du Trésor public pour la gestion budgétaire, interconnectée avec </w:t>
      </w:r>
      <w:r w:rsidRPr="00153B95">
        <w:rPr>
          <w:rFonts w:ascii="Kohinoor Devanagari" w:hAnsi="Kohinoor Devanagari" w:cs="Kohinoor Devanagari"/>
          <w:b/>
          <w:bCs/>
          <w:sz w:val="20"/>
          <w:szCs w:val="20"/>
          <w:shd w:val="clear" w:color="auto" w:fill="FFFFFF"/>
        </w:rPr>
        <w:t>CAMSIS</w:t>
      </w:r>
      <w:r w:rsidRPr="00153B95">
        <w:rPr>
          <w:rFonts w:ascii="Kohinoor Devanagari" w:hAnsi="Kohinoor Devanagari" w:cs="Kohinoor Devanagari"/>
          <w:sz w:val="20"/>
          <w:szCs w:val="20"/>
          <w:shd w:val="clear" w:color="auto" w:fill="FFFFFF"/>
        </w:rPr>
        <w:t xml:space="preserve"> (Douanes) et </w:t>
      </w:r>
      <w:r w:rsidRPr="00153B95">
        <w:rPr>
          <w:rFonts w:ascii="Kohinoor Devanagari" w:hAnsi="Kohinoor Devanagari" w:cs="Kohinoor Devanagari"/>
          <w:b/>
          <w:bCs/>
          <w:sz w:val="20"/>
          <w:szCs w:val="20"/>
          <w:shd w:val="clear" w:color="auto" w:fill="FFFFFF"/>
        </w:rPr>
        <w:t>HARMONIES</w:t>
      </w:r>
      <w:r w:rsidRPr="00153B95">
        <w:rPr>
          <w:rFonts w:ascii="Kohinoor Devanagari" w:hAnsi="Kohinoor Devanagari" w:cs="Kohinoor Devanagari"/>
          <w:sz w:val="20"/>
          <w:szCs w:val="20"/>
          <w:shd w:val="clear" w:color="auto" w:fill="FFFFFF"/>
        </w:rPr>
        <w:t xml:space="preserve"> (Impôts). Elle permet une traçabilité complète des encaissements, transferts infranationaux, affectations spécifiques et données auxiliaires (contribuable, quittance, localisation). Elle constitue le pilier principal pour centraliser les données de recettes extractives et les affectations budgétaires.</w:t>
      </w:r>
    </w:p>
    <w:p w14:paraId="5C9D7B92" w14:textId="29BA8E5D"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b) Réconciliation interinstitutionnelle</w:t>
      </w:r>
      <w:r w:rsidR="00E3586F"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 xml:space="preserve">Deux comités ministériels de réconciliation (mensuels) assurent la cohérence des flux entre les institutions clés (DGI, DGD, DGTCFM, DGB, MINEPAT, CAA). Ces structures offrent un cadre préexistant pouvant être étendu pour valider les données </w:t>
      </w:r>
      <w:r w:rsidRPr="00153B95">
        <w:rPr>
          <w:rFonts w:ascii="Kohinoor Devanagari" w:hAnsi="Kohinoor Devanagari" w:cs="Kohinoor Devanagari"/>
          <w:sz w:val="20"/>
          <w:szCs w:val="20"/>
          <w:shd w:val="clear" w:color="auto" w:fill="FFFFFF"/>
        </w:rPr>
        <w:lastRenderedPageBreak/>
        <w:t>du secteur extractif et fiabiliser les flux interinstitutionnels dans une logique de publication conjointe.</w:t>
      </w:r>
    </w:p>
    <w:p w14:paraId="209A727F" w14:textId="62BA9EE2"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c) Publications de la DGTCFM</w:t>
      </w:r>
      <w:r w:rsidR="00E3586F"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La Direction du Trésor publie régulièrement les tableaux de bord, les lois de finances et de règlement, et les rapports d’exécution. Leur ouverture à une désagrégation par secteur extractif, entreprise et projet permettrait une intégration plus fine des données budgétaires dans le reporting ITIE.</w:t>
      </w:r>
    </w:p>
    <w:p w14:paraId="60273F89" w14:textId="3EE13CD1"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d) Plateformes de la DGI</w:t>
      </w:r>
      <w:r w:rsidR="00E3586F"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Le portail</w:t>
      </w:r>
      <w:r w:rsidR="00B41328" w:rsidRPr="00CC6DEA">
        <w:rPr>
          <w:rFonts w:ascii="Kohinoor Devanagari" w:hAnsi="Kohinoor Devanagari" w:cs="Kohinoor Devanagari"/>
          <w:sz w:val="20"/>
          <w:szCs w:val="20"/>
          <w:shd w:val="clear" w:color="auto" w:fill="FFFFFF"/>
        </w:rPr>
        <w:t xml:space="preserve"> de la DGI</w:t>
      </w:r>
      <w:r w:rsidRPr="00153B95">
        <w:rPr>
          <w:rFonts w:ascii="Kohinoor Devanagari" w:hAnsi="Kohinoor Devanagari" w:cs="Kohinoor Devanagari"/>
          <w:sz w:val="20"/>
          <w:szCs w:val="20"/>
          <w:shd w:val="clear" w:color="auto" w:fill="FFFFFF"/>
        </w:rPr>
        <w:t xml:space="preserve"> permet la collecte numérique des états financiers et des déclarations fiscales des entreprises, incluant les données sur les bénéficiaires effectifs.</w:t>
      </w:r>
    </w:p>
    <w:p w14:paraId="5CBD5CF5" w14:textId="1F066E6B"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e) Cadastre minier</w:t>
      </w:r>
      <w:r w:rsidR="00B41328"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 xml:space="preserve">Le cadastre géré par le MINMIDT contient des informations géographiques et administratives sur les titres miniers. Son interconnexion avec le </w:t>
      </w:r>
      <w:r w:rsidRPr="00153B95">
        <w:rPr>
          <w:rFonts w:ascii="Kohinoor Devanagari" w:hAnsi="Kohinoor Devanagari" w:cs="Kohinoor Devanagari"/>
          <w:b/>
          <w:bCs/>
          <w:sz w:val="20"/>
          <w:szCs w:val="20"/>
          <w:shd w:val="clear" w:color="auto" w:fill="FFFFFF"/>
        </w:rPr>
        <w:t>RCCM</w:t>
      </w:r>
      <w:r w:rsidRPr="00153B95">
        <w:rPr>
          <w:rFonts w:ascii="Kohinoor Devanagari" w:hAnsi="Kohinoor Devanagari" w:cs="Kohinoor Devanagari"/>
          <w:sz w:val="20"/>
          <w:szCs w:val="20"/>
          <w:shd w:val="clear" w:color="auto" w:fill="FFFFFF"/>
        </w:rPr>
        <w:t xml:space="preserve"> (registre du commerce) et les bases de données fiscales permettrait d’intégrer les données de propriété légale, de contrats et de bénéficiaires effectifs, favorisant une transparence plus complète de la chaîne des droits.</w:t>
      </w:r>
    </w:p>
    <w:p w14:paraId="67A41C50" w14:textId="5020DF69"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f) Transferts infranationaux</w:t>
      </w:r>
      <w:r w:rsidR="00B41328"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Les données sur les transferts vers les communes (ex. ISML, redevances minières) sont disponibles via PATRIMONIE mais restent sous-exploitées. Elles peuvent être valorisées à travers le développement d’un tableau de bord public automatisé, avec ventilation par collectivité bénéficiaire et type de prélèvement.</w:t>
      </w:r>
    </w:p>
    <w:p w14:paraId="1DDF05D3" w14:textId="64697190"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g) Société Nationale des Hydrocarbures (SNH)</w:t>
      </w:r>
      <w:r w:rsidR="00B41328"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 xml:space="preserve">La SNH a entamé </w:t>
      </w:r>
      <w:r w:rsidR="00B41328" w:rsidRPr="00CC6DEA">
        <w:rPr>
          <w:rFonts w:ascii="Kohinoor Devanagari" w:hAnsi="Kohinoor Devanagari" w:cs="Kohinoor Devanagari"/>
          <w:sz w:val="20"/>
          <w:szCs w:val="20"/>
          <w:shd w:val="clear" w:color="auto" w:fill="FFFFFF"/>
        </w:rPr>
        <w:t xml:space="preserve">depuis des années </w:t>
      </w:r>
      <w:r w:rsidRPr="00153B95">
        <w:rPr>
          <w:rFonts w:ascii="Kohinoor Devanagari" w:hAnsi="Kohinoor Devanagari" w:cs="Kohinoor Devanagari"/>
          <w:sz w:val="20"/>
          <w:szCs w:val="20"/>
          <w:shd w:val="clear" w:color="auto" w:fill="FFFFFF"/>
        </w:rPr>
        <w:t>une démarche de transparence avec la publication de ses états financiers, distincts selon ses missions de mandat et ses activités propres. Toutefois, les données restent globales et le cadastre pétrolier demeure statique. Un canevas formel de divulgation structuré par type de données (production, ventes, coûts, transferts, etc.) permettrait d’intégrer les données SNH au reporting systématique.</w:t>
      </w:r>
    </w:p>
    <w:p w14:paraId="0FEF448D" w14:textId="064B09C5" w:rsidR="00153B95" w:rsidRPr="00153B95" w:rsidRDefault="00153B95" w:rsidP="00153B95">
      <w:pPr>
        <w:spacing w:before="120" w:after="120" w:line="240" w:lineRule="auto"/>
        <w:jc w:val="both"/>
        <w:rPr>
          <w:rFonts w:ascii="Kohinoor Devanagari" w:hAnsi="Kohinoor Devanagari" w:cs="Kohinoor Devanagari"/>
          <w:sz w:val="20"/>
          <w:szCs w:val="20"/>
          <w:shd w:val="clear" w:color="auto" w:fill="FFFFFF"/>
        </w:rPr>
      </w:pPr>
      <w:r w:rsidRPr="00153B95">
        <w:rPr>
          <w:rFonts w:ascii="Kohinoor Devanagari" w:hAnsi="Kohinoor Devanagari" w:cs="Kohinoor Devanagari"/>
          <w:b/>
          <w:bCs/>
          <w:sz w:val="20"/>
          <w:szCs w:val="20"/>
          <w:shd w:val="clear" w:color="auto" w:fill="FFFFFF"/>
        </w:rPr>
        <w:t>h) Institut National de la Statistique (INS)</w:t>
      </w:r>
      <w:r w:rsidR="00B41328" w:rsidRPr="00CC6DEA">
        <w:rPr>
          <w:rFonts w:ascii="Kohinoor Devanagari" w:hAnsi="Kohinoor Devanagari" w:cs="Kohinoor Devanagari"/>
          <w:b/>
          <w:bCs/>
          <w:sz w:val="20"/>
          <w:szCs w:val="20"/>
          <w:shd w:val="clear" w:color="auto" w:fill="FFFFFF"/>
        </w:rPr>
        <w:t xml:space="preserve"> : </w:t>
      </w:r>
      <w:r w:rsidRPr="00153B95">
        <w:rPr>
          <w:rFonts w:ascii="Kohinoor Devanagari" w:hAnsi="Kohinoor Devanagari" w:cs="Kohinoor Devanagari"/>
          <w:sz w:val="20"/>
          <w:szCs w:val="20"/>
          <w:shd w:val="clear" w:color="auto" w:fill="FFFFFF"/>
        </w:rPr>
        <w:t xml:space="preserve">L’INS produit des données macroéconomiques sur la contribution du secteur extractif au PIB, l’emploi, les exportations et les investissements. Il dispose d’une plateforme Open Data avec un onglet ITIE, et poursuit sa mise en conformité avec la Norme Spéciale de Diffusion des Données (NSDD) du FMI. Malgré les restrictions légales sur la désagrégation par entreprise, des mécanismes de collaboration avec la DGI, la CNPS et </w:t>
      </w:r>
      <w:proofErr w:type="gramStart"/>
      <w:r w:rsidRPr="00153B95">
        <w:rPr>
          <w:rFonts w:ascii="Kohinoor Devanagari" w:hAnsi="Kohinoor Devanagari" w:cs="Kohinoor Devanagari"/>
          <w:sz w:val="20"/>
          <w:szCs w:val="20"/>
          <w:shd w:val="clear" w:color="auto" w:fill="FFFFFF"/>
        </w:rPr>
        <w:t>la</w:t>
      </w:r>
      <w:proofErr w:type="gramEnd"/>
      <w:r w:rsidRPr="00153B95">
        <w:rPr>
          <w:rFonts w:ascii="Kohinoor Devanagari" w:hAnsi="Kohinoor Devanagari" w:cs="Kohinoor Devanagari"/>
          <w:sz w:val="20"/>
          <w:szCs w:val="20"/>
          <w:shd w:val="clear" w:color="auto" w:fill="FFFFFF"/>
        </w:rPr>
        <w:t xml:space="preserve"> STP peuvent être mobilisés pour améliorer la fiabilité et l’accessibilité des données. Par ailleurs, l’INS prévoit une base environnementale d’ici 2028, utile pour répondre à l’exigence 6.4 de la Norme ITIE.</w:t>
      </w:r>
    </w:p>
    <w:p w14:paraId="3CCBAC58" w14:textId="796DE7E6" w:rsidR="00002E5B" w:rsidRPr="00002E5B" w:rsidRDefault="00002E5B"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2" w:name="_Toc204691629"/>
      <w:r w:rsidRPr="00002E5B">
        <w:rPr>
          <w:rFonts w:ascii="Kohinoor Devanagari" w:eastAsia="Times New Roman" w:hAnsi="Kohinoor Devanagari" w:cs="Kohinoor Devanagari"/>
          <w:b/>
          <w:bCs/>
          <w:color w:val="000000" w:themeColor="text1"/>
          <w:sz w:val="20"/>
          <w:szCs w:val="20"/>
          <w:lang w:eastAsia="fr-FR"/>
        </w:rPr>
        <w:t>Étapes de mise en œuvre de la stratégie</w:t>
      </w:r>
      <w:bookmarkEnd w:id="42"/>
    </w:p>
    <w:p w14:paraId="6C9F9252" w14:textId="77777777" w:rsidR="00002E5B" w:rsidRPr="00002E5B" w:rsidRDefault="00002E5B" w:rsidP="00CE3FC4">
      <w:p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La stratégie de divulgation systématique se déploiera en trois étapes :</w:t>
      </w:r>
    </w:p>
    <w:p w14:paraId="40BD3246" w14:textId="2E08F7FC" w:rsidR="00002E5B" w:rsidRPr="00002E5B" w:rsidRDefault="00002E5B" w:rsidP="00CE3FC4">
      <w:p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b/>
          <w:bCs/>
          <w:sz w:val="20"/>
          <w:szCs w:val="20"/>
          <w:shd w:val="clear" w:color="auto" w:fill="FFFFFF"/>
        </w:rPr>
        <w:t>Étape 1 – Cadrage et développement technique (</w:t>
      </w:r>
      <w:r w:rsidR="000F07ED" w:rsidRPr="00CC6DEA">
        <w:rPr>
          <w:rFonts w:ascii="Kohinoor Devanagari" w:hAnsi="Kohinoor Devanagari" w:cs="Kohinoor Devanagari"/>
          <w:b/>
          <w:bCs/>
          <w:sz w:val="20"/>
          <w:szCs w:val="20"/>
          <w:shd w:val="clear" w:color="auto" w:fill="FFFFFF"/>
        </w:rPr>
        <w:t xml:space="preserve"> très </w:t>
      </w:r>
      <w:r w:rsidRPr="00002E5B">
        <w:rPr>
          <w:rFonts w:ascii="Kohinoor Devanagari" w:hAnsi="Kohinoor Devanagari" w:cs="Kohinoor Devanagari"/>
          <w:b/>
          <w:bCs/>
          <w:sz w:val="20"/>
          <w:szCs w:val="20"/>
          <w:shd w:val="clear" w:color="auto" w:fill="FFFFFF"/>
        </w:rPr>
        <w:t>court terme)</w:t>
      </w:r>
    </w:p>
    <w:p w14:paraId="353E8338" w14:textId="77777777" w:rsidR="00002E5B" w:rsidRPr="00002E5B" w:rsidRDefault="00002E5B" w:rsidP="001059BE">
      <w:pPr>
        <w:numPr>
          <w:ilvl w:val="0"/>
          <w:numId w:val="154"/>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Élaboration d’un </w:t>
      </w:r>
      <w:r w:rsidRPr="00002E5B">
        <w:rPr>
          <w:rFonts w:ascii="Kohinoor Devanagari" w:hAnsi="Kohinoor Devanagari" w:cs="Kohinoor Devanagari"/>
          <w:b/>
          <w:bCs/>
          <w:sz w:val="20"/>
          <w:szCs w:val="20"/>
          <w:shd w:val="clear" w:color="auto" w:fill="FFFFFF"/>
        </w:rPr>
        <w:t>cahier des charges</w:t>
      </w:r>
      <w:r w:rsidRPr="00002E5B">
        <w:rPr>
          <w:rFonts w:ascii="Kohinoor Devanagari" w:hAnsi="Kohinoor Devanagari" w:cs="Kohinoor Devanagari"/>
          <w:sz w:val="20"/>
          <w:szCs w:val="20"/>
          <w:shd w:val="clear" w:color="auto" w:fill="FFFFFF"/>
        </w:rPr>
        <w:t xml:space="preserve"> pour l’extracteur de données dans PATRIMONIE.</w:t>
      </w:r>
    </w:p>
    <w:p w14:paraId="3A3CC260" w14:textId="77777777" w:rsidR="00002E5B" w:rsidRPr="00002E5B" w:rsidRDefault="00002E5B" w:rsidP="001059BE">
      <w:pPr>
        <w:numPr>
          <w:ilvl w:val="0"/>
          <w:numId w:val="154"/>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Développement d’un </w:t>
      </w:r>
      <w:r w:rsidRPr="00002E5B">
        <w:rPr>
          <w:rFonts w:ascii="Kohinoor Devanagari" w:hAnsi="Kohinoor Devanagari" w:cs="Kohinoor Devanagari"/>
          <w:b/>
          <w:bCs/>
          <w:sz w:val="20"/>
          <w:szCs w:val="20"/>
          <w:shd w:val="clear" w:color="auto" w:fill="FFFFFF"/>
        </w:rPr>
        <w:t>module de requêtage automatisé</w:t>
      </w:r>
      <w:r w:rsidRPr="00002E5B">
        <w:rPr>
          <w:rFonts w:ascii="Kohinoor Devanagari" w:hAnsi="Kohinoor Devanagari" w:cs="Kohinoor Devanagari"/>
          <w:sz w:val="20"/>
          <w:szCs w:val="20"/>
          <w:shd w:val="clear" w:color="auto" w:fill="FFFFFF"/>
        </w:rPr>
        <w:t>, connecté à CAMSIS et HARMONIES.</w:t>
      </w:r>
    </w:p>
    <w:p w14:paraId="47F9BE35" w14:textId="166A11F5" w:rsidR="00002E5B" w:rsidRPr="00002E5B" w:rsidRDefault="00002E5B" w:rsidP="001059BE">
      <w:pPr>
        <w:numPr>
          <w:ilvl w:val="0"/>
          <w:numId w:val="154"/>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lastRenderedPageBreak/>
        <w:t xml:space="preserve">Lancement d’un </w:t>
      </w:r>
      <w:r w:rsidRPr="00002E5B">
        <w:rPr>
          <w:rFonts w:ascii="Kohinoor Devanagari" w:hAnsi="Kohinoor Devanagari" w:cs="Kohinoor Devanagari"/>
          <w:b/>
          <w:bCs/>
          <w:sz w:val="20"/>
          <w:szCs w:val="20"/>
          <w:shd w:val="clear" w:color="auto" w:fill="FFFFFF"/>
        </w:rPr>
        <w:t>outil de télédéclaration</w:t>
      </w:r>
      <w:r w:rsidRPr="00002E5B">
        <w:rPr>
          <w:rFonts w:ascii="Kohinoor Devanagari" w:hAnsi="Kohinoor Devanagari" w:cs="Kohinoor Devanagari"/>
          <w:sz w:val="20"/>
          <w:szCs w:val="20"/>
          <w:shd w:val="clear" w:color="auto" w:fill="FFFFFF"/>
        </w:rPr>
        <w:t xml:space="preserve"> pour les entités non interconnectées (e.g. collectivités</w:t>
      </w:r>
      <w:r w:rsidRPr="00CC6DEA">
        <w:rPr>
          <w:rFonts w:ascii="Kohinoor Devanagari" w:hAnsi="Kohinoor Devanagari" w:cs="Kohinoor Devanagari"/>
          <w:sz w:val="20"/>
          <w:szCs w:val="20"/>
          <w:shd w:val="clear" w:color="auto" w:fill="FFFFFF"/>
        </w:rPr>
        <w:t>, entreprises</w:t>
      </w:r>
      <w:r w:rsidR="00B41328" w:rsidRPr="00CC6DEA">
        <w:rPr>
          <w:rFonts w:ascii="Kohinoor Devanagari" w:hAnsi="Kohinoor Devanagari" w:cs="Kohinoor Devanagari"/>
          <w:sz w:val="20"/>
          <w:szCs w:val="20"/>
          <w:shd w:val="clear" w:color="auto" w:fill="FFFFFF"/>
        </w:rPr>
        <w:t xml:space="preserve">, </w:t>
      </w:r>
      <w:proofErr w:type="gramStart"/>
      <w:r w:rsidR="00B41328" w:rsidRPr="00CC6DEA">
        <w:rPr>
          <w:rFonts w:ascii="Kohinoor Devanagari" w:hAnsi="Kohinoor Devanagari" w:cs="Kohinoor Devanagari"/>
          <w:sz w:val="20"/>
          <w:szCs w:val="20"/>
          <w:shd w:val="clear" w:color="auto" w:fill="FFFFFF"/>
        </w:rPr>
        <w:t>CNPS..</w:t>
      </w:r>
      <w:proofErr w:type="gramEnd"/>
      <w:r w:rsidRPr="00002E5B">
        <w:rPr>
          <w:rFonts w:ascii="Kohinoor Devanagari" w:hAnsi="Kohinoor Devanagari" w:cs="Kohinoor Devanagari"/>
          <w:sz w:val="20"/>
          <w:szCs w:val="20"/>
          <w:shd w:val="clear" w:color="auto" w:fill="FFFFFF"/>
        </w:rPr>
        <w:t>).</w:t>
      </w:r>
    </w:p>
    <w:p w14:paraId="5302CF38" w14:textId="1264BC06" w:rsidR="00002E5B" w:rsidRPr="00002E5B" w:rsidRDefault="00002E5B" w:rsidP="00CE3FC4">
      <w:p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b/>
          <w:bCs/>
          <w:sz w:val="20"/>
          <w:szCs w:val="20"/>
          <w:shd w:val="clear" w:color="auto" w:fill="FFFFFF"/>
        </w:rPr>
        <w:t>Étape 2 – Intégration progressive des exigences ITIE (</w:t>
      </w:r>
      <w:r w:rsidR="000F07ED" w:rsidRPr="00CC6DEA">
        <w:rPr>
          <w:rFonts w:ascii="Kohinoor Devanagari" w:hAnsi="Kohinoor Devanagari" w:cs="Kohinoor Devanagari"/>
          <w:b/>
          <w:bCs/>
          <w:sz w:val="20"/>
          <w:szCs w:val="20"/>
          <w:shd w:val="clear" w:color="auto" w:fill="FFFFFF"/>
        </w:rPr>
        <w:t>Court/</w:t>
      </w:r>
      <w:r w:rsidRPr="00002E5B">
        <w:rPr>
          <w:rFonts w:ascii="Kohinoor Devanagari" w:hAnsi="Kohinoor Devanagari" w:cs="Kohinoor Devanagari"/>
          <w:b/>
          <w:bCs/>
          <w:sz w:val="20"/>
          <w:szCs w:val="20"/>
          <w:shd w:val="clear" w:color="auto" w:fill="FFFFFF"/>
        </w:rPr>
        <w:t>moyen terme)</w:t>
      </w:r>
    </w:p>
    <w:p w14:paraId="2DD47AA0" w14:textId="77777777" w:rsidR="00002E5B" w:rsidRPr="00002E5B" w:rsidRDefault="00002E5B" w:rsidP="001059BE">
      <w:pPr>
        <w:numPr>
          <w:ilvl w:val="0"/>
          <w:numId w:val="155"/>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Intégration dans les systèmes du </w:t>
      </w:r>
      <w:r w:rsidRPr="00002E5B">
        <w:rPr>
          <w:rFonts w:ascii="Kohinoor Devanagari" w:hAnsi="Kohinoor Devanagari" w:cs="Kohinoor Devanagari"/>
          <w:b/>
          <w:bCs/>
          <w:sz w:val="20"/>
          <w:szCs w:val="20"/>
          <w:shd w:val="clear" w:color="auto" w:fill="FFFFFF"/>
        </w:rPr>
        <w:t>filtrage par projet, société, commune et type de taxe</w:t>
      </w:r>
      <w:r w:rsidRPr="00002E5B">
        <w:rPr>
          <w:rFonts w:ascii="Kohinoor Devanagari" w:hAnsi="Kohinoor Devanagari" w:cs="Kohinoor Devanagari"/>
          <w:sz w:val="20"/>
          <w:szCs w:val="20"/>
          <w:shd w:val="clear" w:color="auto" w:fill="FFFFFF"/>
        </w:rPr>
        <w:t>.</w:t>
      </w:r>
    </w:p>
    <w:p w14:paraId="4B711973" w14:textId="77777777" w:rsidR="00002E5B" w:rsidRPr="00002E5B" w:rsidRDefault="00002E5B" w:rsidP="001059BE">
      <w:pPr>
        <w:numPr>
          <w:ilvl w:val="0"/>
          <w:numId w:val="155"/>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Génération automatique de </w:t>
      </w:r>
      <w:r w:rsidRPr="00002E5B">
        <w:rPr>
          <w:rFonts w:ascii="Kohinoor Devanagari" w:hAnsi="Kohinoor Devanagari" w:cs="Kohinoor Devanagari"/>
          <w:b/>
          <w:bCs/>
          <w:sz w:val="20"/>
          <w:szCs w:val="20"/>
          <w:shd w:val="clear" w:color="auto" w:fill="FFFFFF"/>
        </w:rPr>
        <w:t>rapports mensuels ou trimestriels</w:t>
      </w:r>
      <w:r w:rsidRPr="00002E5B">
        <w:rPr>
          <w:rFonts w:ascii="Kohinoor Devanagari" w:hAnsi="Kohinoor Devanagari" w:cs="Kohinoor Devanagari"/>
          <w:sz w:val="20"/>
          <w:szCs w:val="20"/>
          <w:shd w:val="clear" w:color="auto" w:fill="FFFFFF"/>
        </w:rPr>
        <w:t xml:space="preserve"> conformes à la Norme ITIE.</w:t>
      </w:r>
    </w:p>
    <w:p w14:paraId="4CEA3C00" w14:textId="77777777" w:rsidR="00002E5B" w:rsidRPr="00002E5B" w:rsidRDefault="00002E5B" w:rsidP="001059BE">
      <w:pPr>
        <w:numPr>
          <w:ilvl w:val="0"/>
          <w:numId w:val="155"/>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Mise en ligne d’un </w:t>
      </w:r>
      <w:r w:rsidRPr="00002E5B">
        <w:rPr>
          <w:rFonts w:ascii="Kohinoor Devanagari" w:hAnsi="Kohinoor Devanagari" w:cs="Kohinoor Devanagari"/>
          <w:b/>
          <w:bCs/>
          <w:sz w:val="20"/>
          <w:szCs w:val="20"/>
          <w:shd w:val="clear" w:color="auto" w:fill="FFFFFF"/>
        </w:rPr>
        <w:t>tableau de bord public</w:t>
      </w:r>
      <w:r w:rsidRPr="00002E5B">
        <w:rPr>
          <w:rFonts w:ascii="Kohinoor Devanagari" w:hAnsi="Kohinoor Devanagari" w:cs="Kohinoor Devanagari"/>
          <w:sz w:val="20"/>
          <w:szCs w:val="20"/>
          <w:shd w:val="clear" w:color="auto" w:fill="FFFFFF"/>
        </w:rPr>
        <w:t xml:space="preserve"> sur les flux extractifs (revenus, transferts, volumes).</w:t>
      </w:r>
    </w:p>
    <w:p w14:paraId="510CA311" w14:textId="0D9D5979" w:rsidR="00002E5B" w:rsidRPr="00002E5B" w:rsidRDefault="00002E5B" w:rsidP="00CE3FC4">
      <w:p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b/>
          <w:bCs/>
          <w:sz w:val="20"/>
          <w:szCs w:val="20"/>
          <w:shd w:val="clear" w:color="auto" w:fill="FFFFFF"/>
        </w:rPr>
        <w:t>Étape 3 – Consolidation et ouverture des données (</w:t>
      </w:r>
      <w:r w:rsidR="000F07ED" w:rsidRPr="00CC6DEA">
        <w:rPr>
          <w:rFonts w:ascii="Kohinoor Devanagari" w:hAnsi="Kohinoor Devanagari" w:cs="Kohinoor Devanagari"/>
          <w:b/>
          <w:bCs/>
          <w:sz w:val="20"/>
          <w:szCs w:val="20"/>
          <w:shd w:val="clear" w:color="auto" w:fill="FFFFFF"/>
        </w:rPr>
        <w:t>moyen</w:t>
      </w:r>
      <w:r w:rsidRPr="00002E5B">
        <w:rPr>
          <w:rFonts w:ascii="Kohinoor Devanagari" w:hAnsi="Kohinoor Devanagari" w:cs="Kohinoor Devanagari"/>
          <w:b/>
          <w:bCs/>
          <w:sz w:val="20"/>
          <w:szCs w:val="20"/>
          <w:shd w:val="clear" w:color="auto" w:fill="FFFFFF"/>
        </w:rPr>
        <w:t xml:space="preserve"> terme)</w:t>
      </w:r>
    </w:p>
    <w:p w14:paraId="6CD89F8F" w14:textId="7A7FED2E" w:rsidR="00002E5B" w:rsidRPr="00002E5B" w:rsidRDefault="00002E5B" w:rsidP="001059BE">
      <w:pPr>
        <w:numPr>
          <w:ilvl w:val="0"/>
          <w:numId w:val="156"/>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Interconnexion entre les plateformes sectorielles : </w:t>
      </w:r>
      <w:r w:rsidRPr="00002E5B">
        <w:rPr>
          <w:rFonts w:ascii="Kohinoor Devanagari" w:hAnsi="Kohinoor Devanagari" w:cs="Kohinoor Devanagari"/>
          <w:b/>
          <w:bCs/>
          <w:sz w:val="20"/>
          <w:szCs w:val="20"/>
          <w:shd w:val="clear" w:color="auto" w:fill="FFFFFF"/>
        </w:rPr>
        <w:t xml:space="preserve">PATRIMONIE, cadastre minier, </w:t>
      </w:r>
      <w:r w:rsidR="000F07ED" w:rsidRPr="00CC6DEA">
        <w:rPr>
          <w:rFonts w:ascii="Kohinoor Devanagari" w:hAnsi="Kohinoor Devanagari" w:cs="Kohinoor Devanagari"/>
          <w:b/>
          <w:bCs/>
          <w:sz w:val="20"/>
          <w:szCs w:val="20"/>
          <w:shd w:val="clear" w:color="auto" w:fill="FFFFFF"/>
        </w:rPr>
        <w:t xml:space="preserve">cadastre pétrolier (en cours), </w:t>
      </w:r>
      <w:r w:rsidRPr="00002E5B">
        <w:rPr>
          <w:rFonts w:ascii="Kohinoor Devanagari" w:hAnsi="Kohinoor Devanagari" w:cs="Kohinoor Devanagari"/>
          <w:b/>
          <w:bCs/>
          <w:sz w:val="20"/>
          <w:szCs w:val="20"/>
          <w:shd w:val="clear" w:color="auto" w:fill="FFFFFF"/>
        </w:rPr>
        <w:t xml:space="preserve">RCCM, </w:t>
      </w:r>
      <w:r w:rsidRPr="00CC6DEA">
        <w:rPr>
          <w:rFonts w:ascii="Kohinoor Devanagari" w:hAnsi="Kohinoor Devanagari" w:cs="Kohinoor Devanagari"/>
          <w:b/>
          <w:bCs/>
          <w:sz w:val="20"/>
          <w:szCs w:val="20"/>
          <w:shd w:val="clear" w:color="auto" w:fill="FFFFFF"/>
        </w:rPr>
        <w:t>Plateformes</w:t>
      </w:r>
      <w:r w:rsidRPr="00002E5B">
        <w:rPr>
          <w:rFonts w:ascii="Kohinoor Devanagari" w:hAnsi="Kohinoor Devanagari" w:cs="Kohinoor Devanagari"/>
          <w:b/>
          <w:bCs/>
          <w:sz w:val="20"/>
          <w:szCs w:val="20"/>
          <w:shd w:val="clear" w:color="auto" w:fill="FFFFFF"/>
        </w:rPr>
        <w:t xml:space="preserve"> </w:t>
      </w:r>
      <w:r w:rsidR="000F07ED" w:rsidRPr="00CC6DEA">
        <w:rPr>
          <w:rFonts w:ascii="Kohinoor Devanagari" w:hAnsi="Kohinoor Devanagari" w:cs="Kohinoor Devanagari"/>
          <w:b/>
          <w:bCs/>
          <w:sz w:val="20"/>
          <w:szCs w:val="20"/>
          <w:shd w:val="clear" w:color="auto" w:fill="FFFFFF"/>
        </w:rPr>
        <w:t xml:space="preserve">de la </w:t>
      </w:r>
      <w:r w:rsidRPr="00002E5B">
        <w:rPr>
          <w:rFonts w:ascii="Kohinoor Devanagari" w:hAnsi="Kohinoor Devanagari" w:cs="Kohinoor Devanagari"/>
          <w:b/>
          <w:bCs/>
          <w:sz w:val="20"/>
          <w:szCs w:val="20"/>
          <w:shd w:val="clear" w:color="auto" w:fill="FFFFFF"/>
        </w:rPr>
        <w:t>DGI</w:t>
      </w:r>
      <w:r w:rsidR="007808B4" w:rsidRPr="00CC6DEA">
        <w:rPr>
          <w:rFonts w:ascii="Kohinoor Devanagari" w:hAnsi="Kohinoor Devanagari" w:cs="Kohinoor Devanagari"/>
          <w:b/>
          <w:bCs/>
          <w:sz w:val="20"/>
          <w:szCs w:val="20"/>
          <w:shd w:val="clear" w:color="auto" w:fill="FFFFFF"/>
        </w:rPr>
        <w:t xml:space="preserve">, etc. </w:t>
      </w:r>
      <w:r w:rsidRPr="00002E5B">
        <w:rPr>
          <w:rFonts w:ascii="Kohinoor Devanagari" w:hAnsi="Kohinoor Devanagari" w:cs="Kohinoor Devanagari"/>
          <w:sz w:val="20"/>
          <w:szCs w:val="20"/>
          <w:shd w:val="clear" w:color="auto" w:fill="FFFFFF"/>
        </w:rPr>
        <w:t>.</w:t>
      </w:r>
    </w:p>
    <w:p w14:paraId="4D6E2FBA" w14:textId="77777777" w:rsidR="00002E5B" w:rsidRPr="00002E5B" w:rsidRDefault="00002E5B" w:rsidP="001059BE">
      <w:pPr>
        <w:numPr>
          <w:ilvl w:val="0"/>
          <w:numId w:val="156"/>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 xml:space="preserve">Création d’une </w:t>
      </w:r>
      <w:r w:rsidRPr="00002E5B">
        <w:rPr>
          <w:rFonts w:ascii="Kohinoor Devanagari" w:hAnsi="Kohinoor Devanagari" w:cs="Kohinoor Devanagari"/>
          <w:b/>
          <w:bCs/>
          <w:sz w:val="20"/>
          <w:szCs w:val="20"/>
          <w:shd w:val="clear" w:color="auto" w:fill="FFFFFF"/>
        </w:rPr>
        <w:t>base de données nationale extractive</w:t>
      </w:r>
      <w:r w:rsidRPr="00002E5B">
        <w:rPr>
          <w:rFonts w:ascii="Kohinoor Devanagari" w:hAnsi="Kohinoor Devanagari" w:cs="Kohinoor Devanagari"/>
          <w:sz w:val="20"/>
          <w:szCs w:val="20"/>
          <w:shd w:val="clear" w:color="auto" w:fill="FFFFFF"/>
        </w:rPr>
        <w:t>, regroupant les données financières, fiscales, juridiques, contractuelles et environnementales.</w:t>
      </w:r>
    </w:p>
    <w:p w14:paraId="1729D94D" w14:textId="77777777" w:rsidR="00002E5B" w:rsidRPr="00002E5B" w:rsidRDefault="00002E5B" w:rsidP="001059BE">
      <w:pPr>
        <w:numPr>
          <w:ilvl w:val="0"/>
          <w:numId w:val="156"/>
        </w:numPr>
        <w:spacing w:before="120" w:after="120" w:line="240" w:lineRule="auto"/>
        <w:jc w:val="both"/>
        <w:rPr>
          <w:rFonts w:ascii="Kohinoor Devanagari" w:hAnsi="Kohinoor Devanagari" w:cs="Kohinoor Devanagari"/>
          <w:sz w:val="20"/>
          <w:szCs w:val="20"/>
          <w:shd w:val="clear" w:color="auto" w:fill="FFFFFF"/>
        </w:rPr>
      </w:pPr>
      <w:r w:rsidRPr="00002E5B">
        <w:rPr>
          <w:rFonts w:ascii="Kohinoor Devanagari" w:hAnsi="Kohinoor Devanagari" w:cs="Kohinoor Devanagari"/>
          <w:sz w:val="20"/>
          <w:szCs w:val="20"/>
          <w:shd w:val="clear" w:color="auto" w:fill="FFFFFF"/>
        </w:rPr>
        <w:t>Ouverture des données dans des formats interopérables (CSV, JSON, API) pour réutilisation publique.</w:t>
      </w:r>
    </w:p>
    <w:p w14:paraId="1A292770" w14:textId="03E2B451" w:rsidR="00356D5D" w:rsidRPr="00356D5D" w:rsidRDefault="00356D5D"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3" w:name="_Toc204691630"/>
      <w:r w:rsidRPr="00356D5D">
        <w:rPr>
          <w:rFonts w:ascii="Kohinoor Devanagari" w:eastAsia="Times New Roman" w:hAnsi="Kohinoor Devanagari" w:cs="Kohinoor Devanagari"/>
          <w:b/>
          <w:bCs/>
          <w:color w:val="000000" w:themeColor="text1"/>
          <w:sz w:val="20"/>
          <w:szCs w:val="20"/>
          <w:lang w:eastAsia="fr-FR"/>
        </w:rPr>
        <w:t>Complémentarité avec les parties prenantes</w:t>
      </w:r>
      <w:bookmarkEnd w:id="43"/>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254"/>
        <w:gridCol w:w="7084"/>
      </w:tblGrid>
      <w:tr w:rsidR="00B22EEB" w:rsidRPr="00B22EEB" w14:paraId="6017DF6B" w14:textId="77777777" w:rsidTr="00B933A3">
        <w:trPr>
          <w:tblHeader/>
        </w:trPr>
        <w:tc>
          <w:tcPr>
            <w:tcW w:w="0" w:type="auto"/>
            <w:shd w:val="clear" w:color="auto" w:fill="47626F"/>
            <w:hideMark/>
          </w:tcPr>
          <w:p w14:paraId="3BEB3324" w14:textId="77777777" w:rsidR="00B22EEB" w:rsidRPr="00B22EEB" w:rsidRDefault="00B22EEB" w:rsidP="00303238">
            <w:pPr>
              <w:spacing w:before="40" w:after="40"/>
              <w:rPr>
                <w:rFonts w:ascii="Kohinoor Devanagari" w:hAnsi="Kohinoor Devanagari" w:cs="Kohinoor Devanagari"/>
                <w:b/>
                <w:bCs/>
                <w:color w:val="FFFFFF" w:themeColor="background1"/>
                <w:sz w:val="20"/>
                <w:szCs w:val="20"/>
              </w:rPr>
            </w:pPr>
            <w:r w:rsidRPr="00B22EEB">
              <w:rPr>
                <w:rFonts w:ascii="Kohinoor Devanagari" w:hAnsi="Kohinoor Devanagari" w:cs="Kohinoor Devanagari"/>
                <w:b/>
                <w:bCs/>
                <w:color w:val="FFFFFF" w:themeColor="background1"/>
                <w:sz w:val="20"/>
                <w:szCs w:val="20"/>
              </w:rPr>
              <w:t>Structure</w:t>
            </w:r>
          </w:p>
        </w:tc>
        <w:tc>
          <w:tcPr>
            <w:tcW w:w="0" w:type="auto"/>
            <w:shd w:val="clear" w:color="auto" w:fill="47626F"/>
            <w:hideMark/>
          </w:tcPr>
          <w:p w14:paraId="4915B043" w14:textId="77777777" w:rsidR="00B22EEB" w:rsidRPr="00B22EEB" w:rsidRDefault="00B22EEB" w:rsidP="00303238">
            <w:pPr>
              <w:spacing w:before="40" w:after="40"/>
              <w:rPr>
                <w:rFonts w:ascii="Kohinoor Devanagari" w:hAnsi="Kohinoor Devanagari" w:cs="Kohinoor Devanagari"/>
                <w:b/>
                <w:bCs/>
                <w:color w:val="FFFFFF" w:themeColor="background1"/>
                <w:sz w:val="20"/>
                <w:szCs w:val="20"/>
              </w:rPr>
            </w:pPr>
            <w:r w:rsidRPr="00B22EEB">
              <w:rPr>
                <w:rFonts w:ascii="Kohinoor Devanagari" w:hAnsi="Kohinoor Devanagari" w:cs="Kohinoor Devanagari"/>
                <w:b/>
                <w:bCs/>
                <w:color w:val="FFFFFF" w:themeColor="background1"/>
                <w:sz w:val="20"/>
                <w:szCs w:val="20"/>
              </w:rPr>
              <w:t>Rôle clé dans la stratégie de divulgation systématique</w:t>
            </w:r>
          </w:p>
        </w:tc>
      </w:tr>
      <w:tr w:rsidR="00B22EEB" w:rsidRPr="00B22EEB" w14:paraId="4D094EEA" w14:textId="77777777" w:rsidTr="00B933A3">
        <w:tc>
          <w:tcPr>
            <w:tcW w:w="0" w:type="auto"/>
            <w:hideMark/>
          </w:tcPr>
          <w:p w14:paraId="0EE2E6FD"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DGTCFM</w:t>
            </w:r>
          </w:p>
        </w:tc>
        <w:tc>
          <w:tcPr>
            <w:tcW w:w="0" w:type="auto"/>
            <w:hideMark/>
          </w:tcPr>
          <w:p w14:paraId="31C42697"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 xml:space="preserve">Supervision de la plateforme </w:t>
            </w:r>
            <w:r w:rsidRPr="00B22EEB">
              <w:rPr>
                <w:rFonts w:ascii="Kohinoor Devanagari" w:hAnsi="Kohinoor Devanagari" w:cs="Kohinoor Devanagari"/>
                <w:b/>
                <w:bCs/>
                <w:sz w:val="20"/>
                <w:szCs w:val="20"/>
                <w:shd w:val="clear" w:color="auto" w:fill="FFFFFF"/>
              </w:rPr>
              <w:t>PATRIMONIE</w:t>
            </w:r>
            <w:r w:rsidRPr="00B22EEB">
              <w:rPr>
                <w:rFonts w:ascii="Kohinoor Devanagari" w:hAnsi="Kohinoor Devanagari" w:cs="Kohinoor Devanagari"/>
                <w:sz w:val="20"/>
                <w:szCs w:val="20"/>
                <w:shd w:val="clear" w:color="auto" w:fill="FFFFFF"/>
              </w:rPr>
              <w:t>, traçabilité des recettes et transferts, coordination des flux interinstitutionnels et budgétaires.</w:t>
            </w:r>
          </w:p>
        </w:tc>
      </w:tr>
      <w:tr w:rsidR="00B22EEB" w:rsidRPr="00B22EEB" w14:paraId="6C9AB7E7" w14:textId="77777777" w:rsidTr="00B933A3">
        <w:tc>
          <w:tcPr>
            <w:tcW w:w="0" w:type="auto"/>
            <w:hideMark/>
          </w:tcPr>
          <w:p w14:paraId="79253B99"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DGI – HARMONIES</w:t>
            </w:r>
          </w:p>
        </w:tc>
        <w:tc>
          <w:tcPr>
            <w:tcW w:w="0" w:type="auto"/>
            <w:hideMark/>
          </w:tcPr>
          <w:p w14:paraId="246C5F8F" w14:textId="2E3483F3"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 xml:space="preserve">Fourniture des données fiscales, des états financiers, des déclarations extractives, et des bénéficiaires effectifs ; </w:t>
            </w:r>
            <w:r w:rsidR="002154DC" w:rsidRPr="00B22EEB">
              <w:rPr>
                <w:rFonts w:ascii="Kohinoor Devanagari" w:hAnsi="Kohinoor Devanagari" w:cs="Kohinoor Devanagari"/>
                <w:sz w:val="20"/>
                <w:szCs w:val="20"/>
                <w:shd w:val="clear" w:color="auto" w:fill="FFFFFF"/>
              </w:rPr>
              <w:t>interconnexion avec PATRIMONIE.</w:t>
            </w:r>
          </w:p>
        </w:tc>
      </w:tr>
      <w:tr w:rsidR="00B22EEB" w:rsidRPr="00B22EEB" w14:paraId="4105CE31" w14:textId="77777777" w:rsidTr="00B933A3">
        <w:tc>
          <w:tcPr>
            <w:tcW w:w="0" w:type="auto"/>
            <w:hideMark/>
          </w:tcPr>
          <w:p w14:paraId="068E19A6"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DGD – CAMSIS</w:t>
            </w:r>
          </w:p>
        </w:tc>
        <w:tc>
          <w:tcPr>
            <w:tcW w:w="0" w:type="auto"/>
            <w:hideMark/>
          </w:tcPr>
          <w:p w14:paraId="147AAB2E"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Transmission des données douanières sur les exportations et importations extractives ; interconnexion avec PATRIMONIE.</w:t>
            </w:r>
          </w:p>
        </w:tc>
      </w:tr>
      <w:tr w:rsidR="00B22EEB" w:rsidRPr="00B22EEB" w14:paraId="437B7DC9" w14:textId="77777777" w:rsidTr="00B933A3">
        <w:tc>
          <w:tcPr>
            <w:tcW w:w="0" w:type="auto"/>
            <w:hideMark/>
          </w:tcPr>
          <w:p w14:paraId="16C3F669"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SNH</w:t>
            </w:r>
          </w:p>
        </w:tc>
        <w:tc>
          <w:tcPr>
            <w:tcW w:w="0" w:type="auto"/>
            <w:hideMark/>
          </w:tcPr>
          <w:p w14:paraId="76D0CDFE"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Transmission ventilée des revenus en nature, des ventes de brut, des transferts au Trésor et des dépenses quasi budgétaires.</w:t>
            </w:r>
          </w:p>
        </w:tc>
      </w:tr>
      <w:tr w:rsidR="006357D6" w:rsidRPr="00B22EEB" w14:paraId="7044CDDE" w14:textId="77777777" w:rsidTr="00B933A3">
        <w:tc>
          <w:tcPr>
            <w:tcW w:w="0" w:type="auto"/>
          </w:tcPr>
          <w:p w14:paraId="24A65E96" w14:textId="525C607C" w:rsidR="006357D6" w:rsidRPr="00B22EEB" w:rsidRDefault="006357D6" w:rsidP="00303238">
            <w:pPr>
              <w:spacing w:before="40" w:after="40"/>
              <w:rPr>
                <w:rFonts w:ascii="Kohinoor Devanagari" w:hAnsi="Kohinoor Devanagari" w:cs="Kohinoor Devanagari"/>
                <w:b/>
                <w:bCs/>
                <w:sz w:val="20"/>
                <w:szCs w:val="20"/>
                <w:shd w:val="clear" w:color="auto" w:fill="FFFFFF"/>
              </w:rPr>
            </w:pPr>
            <w:r>
              <w:rPr>
                <w:rFonts w:ascii="Kohinoor Devanagari" w:hAnsi="Kohinoor Devanagari" w:cs="Kohinoor Devanagari"/>
                <w:b/>
                <w:bCs/>
                <w:sz w:val="20"/>
                <w:szCs w:val="20"/>
                <w:shd w:val="clear" w:color="auto" w:fill="FFFFFF"/>
              </w:rPr>
              <w:t>SONAMINES</w:t>
            </w:r>
          </w:p>
        </w:tc>
        <w:tc>
          <w:tcPr>
            <w:tcW w:w="0" w:type="auto"/>
          </w:tcPr>
          <w:p w14:paraId="1D87729E" w14:textId="5B8C170B" w:rsidR="006357D6" w:rsidRPr="00B22EEB" w:rsidRDefault="00FA3058" w:rsidP="00303238">
            <w:pPr>
              <w:spacing w:before="40" w:after="40"/>
              <w:jc w:val="both"/>
              <w:rPr>
                <w:rFonts w:ascii="Kohinoor Devanagari" w:hAnsi="Kohinoor Devanagari" w:cs="Kohinoor Devanagari"/>
                <w:sz w:val="20"/>
                <w:szCs w:val="20"/>
                <w:shd w:val="clear" w:color="auto" w:fill="FFFFFF"/>
              </w:rPr>
            </w:pPr>
            <w:r w:rsidRPr="00FA3058">
              <w:rPr>
                <w:rFonts w:ascii="Kohinoor Devanagari" w:hAnsi="Kohinoor Devanagari" w:cs="Kohinoor Devanagari"/>
                <w:sz w:val="20"/>
                <w:szCs w:val="20"/>
                <w:shd w:val="clear" w:color="auto" w:fill="FFFFFF"/>
              </w:rPr>
              <w:t>Divulgation des flux collectés (redevances, IS, ISML)</w:t>
            </w:r>
            <w:r>
              <w:rPr>
                <w:rFonts w:ascii="Kohinoor Devanagari" w:hAnsi="Kohinoor Devanagari" w:cs="Kohinoor Devanagari"/>
                <w:sz w:val="20"/>
                <w:szCs w:val="20"/>
                <w:shd w:val="clear" w:color="auto" w:fill="FFFFFF"/>
              </w:rPr>
              <w:t xml:space="preserve"> et transférés</w:t>
            </w:r>
          </w:p>
        </w:tc>
      </w:tr>
      <w:tr w:rsidR="00B22EEB" w:rsidRPr="00B22EEB" w14:paraId="1E51C565" w14:textId="77777777" w:rsidTr="00B933A3">
        <w:tc>
          <w:tcPr>
            <w:tcW w:w="0" w:type="auto"/>
            <w:hideMark/>
          </w:tcPr>
          <w:p w14:paraId="7395733D"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MINFI – MINEPAT</w:t>
            </w:r>
          </w:p>
        </w:tc>
        <w:tc>
          <w:tcPr>
            <w:tcW w:w="0" w:type="auto"/>
            <w:hideMark/>
          </w:tcPr>
          <w:p w14:paraId="4772E897"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Alignement des publications (lois de finances, de règlement, rapports budgétaires) avec les exigences de désagrégation ITIE.</w:t>
            </w:r>
          </w:p>
        </w:tc>
      </w:tr>
      <w:tr w:rsidR="008E0DED" w:rsidRPr="00B22EEB" w14:paraId="31125A12" w14:textId="77777777" w:rsidTr="00B933A3">
        <w:tc>
          <w:tcPr>
            <w:tcW w:w="0" w:type="auto"/>
          </w:tcPr>
          <w:p w14:paraId="476637BF" w14:textId="120119A3" w:rsidR="008E0DED" w:rsidRPr="00B22EEB" w:rsidRDefault="00B933A3" w:rsidP="00303238">
            <w:pPr>
              <w:spacing w:before="40" w:after="40"/>
              <w:rPr>
                <w:rFonts w:ascii="Kohinoor Devanagari" w:hAnsi="Kohinoor Devanagari" w:cs="Kohinoor Devanagari"/>
                <w:b/>
                <w:bCs/>
                <w:sz w:val="20"/>
                <w:szCs w:val="20"/>
                <w:shd w:val="clear" w:color="auto" w:fill="FFFFFF"/>
              </w:rPr>
            </w:pPr>
            <w:r>
              <w:rPr>
                <w:rFonts w:ascii="Kohinoor Devanagari" w:hAnsi="Kohinoor Devanagari" w:cs="Kohinoor Devanagari"/>
                <w:b/>
                <w:bCs/>
                <w:sz w:val="20"/>
                <w:szCs w:val="20"/>
                <w:shd w:val="clear" w:color="auto" w:fill="FFFFFF"/>
              </w:rPr>
              <w:t>Entreprises extractives</w:t>
            </w:r>
          </w:p>
        </w:tc>
        <w:tc>
          <w:tcPr>
            <w:tcW w:w="0" w:type="auto"/>
          </w:tcPr>
          <w:p w14:paraId="37757B92" w14:textId="0A90DE7F" w:rsidR="008E0DED" w:rsidRPr="00B22EEB" w:rsidRDefault="00B933A3" w:rsidP="00303238">
            <w:pPr>
              <w:spacing w:before="40" w:after="40"/>
              <w:jc w:val="both"/>
              <w:rPr>
                <w:rFonts w:ascii="Kohinoor Devanagari" w:hAnsi="Kohinoor Devanagari" w:cs="Kohinoor Devanagari"/>
                <w:sz w:val="20"/>
                <w:szCs w:val="20"/>
                <w:shd w:val="clear" w:color="auto" w:fill="FFFFFF"/>
              </w:rPr>
            </w:pPr>
            <w:r w:rsidRPr="00B933A3">
              <w:rPr>
                <w:rFonts w:ascii="Kohinoor Devanagari" w:hAnsi="Kohinoor Devanagari" w:cs="Kohinoor Devanagari"/>
                <w:sz w:val="20"/>
                <w:szCs w:val="20"/>
                <w:shd w:val="clear" w:color="auto" w:fill="FFFFFF"/>
              </w:rPr>
              <w:t>Déclarations fiscales et environnementales ; publication volontaire ou obligatoire des dépenses sociales.</w:t>
            </w:r>
          </w:p>
        </w:tc>
      </w:tr>
      <w:tr w:rsidR="00B22EEB" w:rsidRPr="00B22EEB" w14:paraId="15526061" w14:textId="77777777" w:rsidTr="00B933A3">
        <w:tc>
          <w:tcPr>
            <w:tcW w:w="0" w:type="auto"/>
            <w:hideMark/>
          </w:tcPr>
          <w:p w14:paraId="420E73AE"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MINMIDT – Cadastre minier</w:t>
            </w:r>
          </w:p>
        </w:tc>
        <w:tc>
          <w:tcPr>
            <w:tcW w:w="0" w:type="auto"/>
            <w:hideMark/>
          </w:tcPr>
          <w:p w14:paraId="3F78B8B2"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Publication des titres miniers, actes d’octroi, contrats et données de propriété légale via le cadastre ; interopérabilité avec RCCM et DGI.</w:t>
            </w:r>
          </w:p>
        </w:tc>
      </w:tr>
      <w:tr w:rsidR="00B22EEB" w:rsidRPr="00B22EEB" w14:paraId="5D64B130" w14:textId="77777777" w:rsidTr="00B933A3">
        <w:tc>
          <w:tcPr>
            <w:tcW w:w="0" w:type="auto"/>
            <w:hideMark/>
          </w:tcPr>
          <w:p w14:paraId="1448294E"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RCCM – MINJUSTICE</w:t>
            </w:r>
          </w:p>
        </w:tc>
        <w:tc>
          <w:tcPr>
            <w:tcW w:w="0" w:type="auto"/>
            <w:hideMark/>
          </w:tcPr>
          <w:p w14:paraId="2F65546D"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Mise à disposition des données de propriété légale et interconnexion avec les registres fiscaux et cadastraux.</w:t>
            </w:r>
          </w:p>
        </w:tc>
      </w:tr>
      <w:tr w:rsidR="00B22EEB" w:rsidRPr="00B22EEB" w14:paraId="17B2D6C8" w14:textId="77777777" w:rsidTr="00B933A3">
        <w:tc>
          <w:tcPr>
            <w:tcW w:w="0" w:type="auto"/>
            <w:hideMark/>
          </w:tcPr>
          <w:p w14:paraId="7AEE653C" w14:textId="77777777"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lastRenderedPageBreak/>
              <w:t>INS</w:t>
            </w:r>
          </w:p>
        </w:tc>
        <w:tc>
          <w:tcPr>
            <w:tcW w:w="0" w:type="auto"/>
            <w:hideMark/>
          </w:tcPr>
          <w:p w14:paraId="26AEB718" w14:textId="77777777" w:rsidR="00B22EEB" w:rsidRPr="00B22EEB" w:rsidRDefault="00B22EEB" w:rsidP="00303238">
            <w:pPr>
              <w:spacing w:before="40" w:after="40" w:line="259" w:lineRule="auto"/>
              <w:jc w:val="both"/>
              <w:rPr>
                <w:rFonts w:ascii="Kohinoor Devanagari" w:hAnsi="Kohinoor Devanagari" w:cs="Kohinoor Devanagari"/>
                <w:sz w:val="20"/>
                <w:szCs w:val="20"/>
                <w:shd w:val="clear" w:color="auto" w:fill="FFFFFF"/>
              </w:rPr>
            </w:pPr>
            <w:r w:rsidRPr="00B22EEB">
              <w:rPr>
                <w:rFonts w:ascii="Kohinoor Devanagari" w:hAnsi="Kohinoor Devanagari" w:cs="Kohinoor Devanagari"/>
                <w:sz w:val="20"/>
                <w:szCs w:val="20"/>
                <w:shd w:val="clear" w:color="auto" w:fill="FFFFFF"/>
              </w:rPr>
              <w:t>Production de statistiques sectorielles (PIB extractif, emploi, investissement), développement de l’Open Data, intégration des normes ITIE.</w:t>
            </w:r>
          </w:p>
        </w:tc>
      </w:tr>
      <w:tr w:rsidR="007405C7" w:rsidRPr="00B22EEB" w14:paraId="79C27404" w14:textId="77777777" w:rsidTr="00B933A3">
        <w:tc>
          <w:tcPr>
            <w:tcW w:w="0" w:type="auto"/>
          </w:tcPr>
          <w:p w14:paraId="4D3BCDAD" w14:textId="4A04844B" w:rsidR="007405C7" w:rsidRPr="00B22EEB" w:rsidRDefault="007405C7" w:rsidP="00303238">
            <w:pPr>
              <w:spacing w:before="40" w:after="40"/>
              <w:rPr>
                <w:rFonts w:ascii="Kohinoor Devanagari" w:hAnsi="Kohinoor Devanagari" w:cs="Kohinoor Devanagari"/>
                <w:b/>
                <w:bCs/>
                <w:sz w:val="20"/>
                <w:szCs w:val="20"/>
                <w:shd w:val="clear" w:color="auto" w:fill="FFFFFF"/>
              </w:rPr>
            </w:pPr>
            <w:r>
              <w:rPr>
                <w:rFonts w:ascii="Kohinoor Devanagari" w:hAnsi="Kohinoor Devanagari" w:cs="Kohinoor Devanagari"/>
                <w:b/>
                <w:bCs/>
                <w:sz w:val="20"/>
                <w:szCs w:val="20"/>
                <w:shd w:val="clear" w:color="auto" w:fill="FFFFFF"/>
              </w:rPr>
              <w:t>Collectivités territoriales</w:t>
            </w:r>
          </w:p>
        </w:tc>
        <w:tc>
          <w:tcPr>
            <w:tcW w:w="0" w:type="auto"/>
          </w:tcPr>
          <w:p w14:paraId="0A4E5292" w14:textId="6822F245" w:rsidR="007405C7" w:rsidRPr="00B22EEB" w:rsidRDefault="007405C7" w:rsidP="00303238">
            <w:pPr>
              <w:spacing w:before="40" w:after="40"/>
              <w:jc w:val="both"/>
              <w:rPr>
                <w:rFonts w:ascii="Kohinoor Devanagari" w:hAnsi="Kohinoor Devanagari" w:cs="Kohinoor Devanagari"/>
                <w:sz w:val="20"/>
                <w:szCs w:val="20"/>
                <w:shd w:val="clear" w:color="auto" w:fill="FFFFFF"/>
              </w:rPr>
            </w:pPr>
            <w:r w:rsidRPr="007405C7">
              <w:rPr>
                <w:rFonts w:ascii="Kohinoor Devanagari" w:hAnsi="Kohinoor Devanagari" w:cs="Kohinoor Devanagari"/>
                <w:sz w:val="20"/>
                <w:szCs w:val="20"/>
                <w:shd w:val="clear" w:color="auto" w:fill="FFFFFF"/>
              </w:rPr>
              <w:t>Réception des transferts infranationaux (ISML, redevances), publication locale des recettes et projets financés.</w:t>
            </w:r>
          </w:p>
        </w:tc>
      </w:tr>
      <w:tr w:rsidR="00AA0253" w:rsidRPr="00B22EEB" w14:paraId="27A1FC39" w14:textId="77777777" w:rsidTr="00B933A3">
        <w:tc>
          <w:tcPr>
            <w:tcW w:w="0" w:type="auto"/>
          </w:tcPr>
          <w:p w14:paraId="20D8C4BE" w14:textId="312077C8" w:rsidR="00AA0253" w:rsidRDefault="00AA0253" w:rsidP="00303238">
            <w:pPr>
              <w:spacing w:before="40" w:after="40"/>
              <w:rPr>
                <w:rFonts w:ascii="Kohinoor Devanagari" w:hAnsi="Kohinoor Devanagari" w:cs="Kohinoor Devanagari"/>
                <w:b/>
                <w:bCs/>
                <w:sz w:val="20"/>
                <w:szCs w:val="20"/>
                <w:shd w:val="clear" w:color="auto" w:fill="FFFFFF"/>
              </w:rPr>
            </w:pPr>
            <w:r>
              <w:rPr>
                <w:rFonts w:ascii="Kohinoor Devanagari" w:hAnsi="Kohinoor Devanagari" w:cs="Kohinoor Devanagari"/>
                <w:b/>
                <w:bCs/>
                <w:sz w:val="20"/>
                <w:szCs w:val="20"/>
                <w:shd w:val="clear" w:color="auto" w:fill="FFFFFF"/>
              </w:rPr>
              <w:t>OSC</w:t>
            </w:r>
          </w:p>
        </w:tc>
        <w:tc>
          <w:tcPr>
            <w:tcW w:w="0" w:type="auto"/>
          </w:tcPr>
          <w:p w14:paraId="37007555" w14:textId="37B74780" w:rsidR="00AA0253" w:rsidRPr="007405C7" w:rsidRDefault="00AA0253" w:rsidP="00303238">
            <w:pPr>
              <w:spacing w:before="40" w:after="40"/>
              <w:jc w:val="both"/>
              <w:rPr>
                <w:rFonts w:ascii="Kohinoor Devanagari" w:hAnsi="Kohinoor Devanagari" w:cs="Kohinoor Devanagari"/>
                <w:sz w:val="20"/>
                <w:szCs w:val="20"/>
                <w:shd w:val="clear" w:color="auto" w:fill="FFFFFF"/>
              </w:rPr>
            </w:pPr>
            <w:r w:rsidRPr="00AA0253">
              <w:rPr>
                <w:rFonts w:ascii="Kohinoor Devanagari" w:hAnsi="Kohinoor Devanagari" w:cs="Kohinoor Devanagari"/>
                <w:sz w:val="20"/>
                <w:szCs w:val="20"/>
                <w:shd w:val="clear" w:color="auto" w:fill="FFFFFF"/>
              </w:rPr>
              <w:t>Veille citoyenne, plaidoyer, vulgarisation des données, contribution au suivi communautaire</w:t>
            </w:r>
            <w:r>
              <w:rPr>
                <w:rFonts w:ascii="Kohinoor Devanagari" w:hAnsi="Kohinoor Devanagari" w:cs="Kohinoor Devanagari"/>
                <w:sz w:val="20"/>
                <w:szCs w:val="20"/>
                <w:shd w:val="clear" w:color="auto" w:fill="FFFFFF"/>
              </w:rPr>
              <w:t xml:space="preserve"> et</w:t>
            </w:r>
            <w:r w:rsidRPr="00B22EEB">
              <w:rPr>
                <w:rFonts w:ascii="Kohinoor Devanagari" w:hAnsi="Kohinoor Devanagari" w:cs="Kohinoor Devanagari"/>
                <w:sz w:val="20"/>
                <w:szCs w:val="20"/>
                <w:shd w:val="clear" w:color="auto" w:fill="FFFFFF"/>
              </w:rPr>
              <w:t xml:space="preserve"> utilisation citoyenne de l’information publiée</w:t>
            </w:r>
          </w:p>
        </w:tc>
      </w:tr>
      <w:tr w:rsidR="00B22EEB" w:rsidRPr="00B22EEB" w14:paraId="2C8159C1" w14:textId="77777777" w:rsidTr="00B933A3">
        <w:tc>
          <w:tcPr>
            <w:tcW w:w="0" w:type="auto"/>
            <w:hideMark/>
          </w:tcPr>
          <w:p w14:paraId="42E67FF0" w14:textId="2C4F56FF" w:rsidR="00B22EEB" w:rsidRPr="00B22EEB" w:rsidRDefault="00B22EEB" w:rsidP="00303238">
            <w:pPr>
              <w:spacing w:before="40" w:after="40" w:line="259" w:lineRule="auto"/>
              <w:rPr>
                <w:rFonts w:ascii="Kohinoor Devanagari" w:hAnsi="Kohinoor Devanagari" w:cs="Kohinoor Devanagari"/>
                <w:sz w:val="20"/>
                <w:szCs w:val="20"/>
                <w:shd w:val="clear" w:color="auto" w:fill="FFFFFF"/>
              </w:rPr>
            </w:pPr>
            <w:r w:rsidRPr="00B22EEB">
              <w:rPr>
                <w:rFonts w:ascii="Kohinoor Devanagari" w:hAnsi="Kohinoor Devanagari" w:cs="Kohinoor Devanagari"/>
                <w:b/>
                <w:bCs/>
                <w:sz w:val="20"/>
                <w:szCs w:val="20"/>
                <w:shd w:val="clear" w:color="auto" w:fill="FFFFFF"/>
              </w:rPr>
              <w:t>Parlement, Cour des comptes</w:t>
            </w:r>
          </w:p>
        </w:tc>
        <w:tc>
          <w:tcPr>
            <w:tcW w:w="0" w:type="auto"/>
            <w:hideMark/>
          </w:tcPr>
          <w:p w14:paraId="1FC6E664" w14:textId="437BA6EF" w:rsidR="00B22EEB" w:rsidRPr="00B22EEB" w:rsidRDefault="002154DC" w:rsidP="00303238">
            <w:pPr>
              <w:spacing w:before="40" w:after="40" w:line="259" w:lineRule="auto"/>
              <w:jc w:val="both"/>
              <w:rPr>
                <w:rFonts w:ascii="Kohinoor Devanagari" w:hAnsi="Kohinoor Devanagari" w:cs="Kohinoor Devanagari"/>
                <w:sz w:val="20"/>
                <w:szCs w:val="20"/>
                <w:shd w:val="clear" w:color="auto" w:fill="FFFFFF"/>
              </w:rPr>
            </w:pPr>
            <w:r w:rsidRPr="002154DC">
              <w:rPr>
                <w:rFonts w:ascii="Kohinoor Devanagari" w:hAnsi="Kohinoor Devanagari" w:cs="Kohinoor Devanagari"/>
                <w:sz w:val="20"/>
                <w:szCs w:val="20"/>
                <w:shd w:val="clear" w:color="auto" w:fill="FFFFFF"/>
              </w:rPr>
              <w:t>Contrôle budgétaire, évaluation de l’impact des politiques extractives et renforcement de la redevabilité.</w:t>
            </w:r>
          </w:p>
        </w:tc>
      </w:tr>
      <w:tr w:rsidR="002154DC" w:rsidRPr="00B22EEB" w14:paraId="44EE0B00" w14:textId="77777777" w:rsidTr="00B933A3">
        <w:tc>
          <w:tcPr>
            <w:tcW w:w="0" w:type="auto"/>
          </w:tcPr>
          <w:p w14:paraId="7221DD3F" w14:textId="5498469D" w:rsidR="002154DC" w:rsidRPr="00B22EEB" w:rsidRDefault="002154DC" w:rsidP="00303238">
            <w:pPr>
              <w:spacing w:before="40" w:after="40"/>
              <w:rPr>
                <w:rFonts w:ascii="Kohinoor Devanagari" w:hAnsi="Kohinoor Devanagari" w:cs="Kohinoor Devanagari"/>
                <w:b/>
                <w:bCs/>
                <w:sz w:val="20"/>
                <w:szCs w:val="20"/>
                <w:shd w:val="clear" w:color="auto" w:fill="FFFFFF"/>
              </w:rPr>
            </w:pPr>
            <w:r>
              <w:rPr>
                <w:rFonts w:ascii="Kohinoor Devanagari" w:hAnsi="Kohinoor Devanagari" w:cs="Kohinoor Devanagari"/>
                <w:b/>
                <w:bCs/>
                <w:sz w:val="20"/>
                <w:szCs w:val="20"/>
                <w:shd w:val="clear" w:color="auto" w:fill="FFFFFF"/>
              </w:rPr>
              <w:t>Administrateur indépendant</w:t>
            </w:r>
          </w:p>
        </w:tc>
        <w:tc>
          <w:tcPr>
            <w:tcW w:w="0" w:type="auto"/>
          </w:tcPr>
          <w:p w14:paraId="1831AE07" w14:textId="3756B8EC" w:rsidR="002154DC" w:rsidRPr="002154DC" w:rsidRDefault="002154DC" w:rsidP="00303238">
            <w:pPr>
              <w:spacing w:before="40" w:after="40"/>
              <w:jc w:val="both"/>
              <w:rPr>
                <w:rFonts w:ascii="Kohinoor Devanagari" w:hAnsi="Kohinoor Devanagari" w:cs="Kohinoor Devanagari"/>
                <w:sz w:val="20"/>
                <w:szCs w:val="20"/>
                <w:shd w:val="clear" w:color="auto" w:fill="FFFFFF"/>
              </w:rPr>
            </w:pPr>
            <w:r w:rsidRPr="002154DC">
              <w:rPr>
                <w:rFonts w:ascii="Kohinoor Devanagari" w:hAnsi="Kohinoor Devanagari" w:cs="Kohinoor Devanagari"/>
                <w:sz w:val="20"/>
                <w:szCs w:val="20"/>
                <w:shd w:val="clear" w:color="auto" w:fill="FFFFFF"/>
              </w:rPr>
              <w:t xml:space="preserve">Tiers de confiance assurant la fiabilité, la structuration, l’interopérabilité et </w:t>
            </w:r>
            <w:r>
              <w:rPr>
                <w:rFonts w:ascii="Kohinoor Devanagari" w:hAnsi="Kohinoor Devanagari" w:cs="Kohinoor Devanagari"/>
                <w:sz w:val="20"/>
                <w:szCs w:val="20"/>
                <w:shd w:val="clear" w:color="auto" w:fill="FFFFFF"/>
              </w:rPr>
              <w:t>l’exhaustivité</w:t>
            </w:r>
            <w:r w:rsidRPr="002154DC">
              <w:rPr>
                <w:rFonts w:ascii="Kohinoor Devanagari" w:hAnsi="Kohinoor Devanagari" w:cs="Kohinoor Devanagari"/>
                <w:sz w:val="20"/>
                <w:szCs w:val="20"/>
                <w:shd w:val="clear" w:color="auto" w:fill="FFFFFF"/>
              </w:rPr>
              <w:t xml:space="preserve"> des données publiées.</w:t>
            </w:r>
          </w:p>
        </w:tc>
      </w:tr>
    </w:tbl>
    <w:p w14:paraId="47A289C0" w14:textId="5D6C8E52" w:rsidR="004C656D" w:rsidRPr="004C656D" w:rsidRDefault="004C656D"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4" w:name="_Toc204691631"/>
      <w:r w:rsidRPr="004C656D">
        <w:rPr>
          <w:rFonts w:ascii="Kohinoor Devanagari" w:eastAsia="Times New Roman" w:hAnsi="Kohinoor Devanagari" w:cs="Kohinoor Devanagari"/>
          <w:b/>
          <w:bCs/>
          <w:color w:val="000000" w:themeColor="text1"/>
          <w:sz w:val="20"/>
          <w:szCs w:val="20"/>
          <w:lang w:eastAsia="fr-FR"/>
        </w:rPr>
        <w:t>Assurance des données et gestion des risques</w:t>
      </w:r>
      <w:bookmarkEnd w:id="44"/>
    </w:p>
    <w:p w14:paraId="418B657D" w14:textId="77777777" w:rsidR="004C656D" w:rsidRPr="004C656D" w:rsidRDefault="004C656D" w:rsidP="004C656D">
      <w:pPr>
        <w:spacing w:before="120" w:after="120" w:line="240" w:lineRule="auto"/>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 xml:space="preserve">La transition vers la divulgation systématique impose une redéfinition de l’approche d’assurance des données. Il ne s’agit plus seulement de réconcilier ex post certaines déclarations, mais de garantir </w:t>
      </w:r>
      <w:r w:rsidRPr="004C656D">
        <w:rPr>
          <w:rFonts w:ascii="Kohinoor Devanagari" w:hAnsi="Kohinoor Devanagari" w:cs="Kohinoor Devanagari"/>
          <w:b/>
          <w:bCs/>
          <w:sz w:val="20"/>
          <w:szCs w:val="20"/>
          <w:shd w:val="clear" w:color="auto" w:fill="FFFFFF"/>
        </w:rPr>
        <w:t>en continu la qualité, la fiabilité et la conformité des données publiées par les systèmes nationaux</w:t>
      </w:r>
      <w:r w:rsidRPr="004C656D">
        <w:rPr>
          <w:rFonts w:ascii="Kohinoor Devanagari" w:hAnsi="Kohinoor Devanagari" w:cs="Kohinoor Devanagari"/>
          <w:sz w:val="20"/>
          <w:szCs w:val="20"/>
          <w:shd w:val="clear" w:color="auto" w:fill="FFFFFF"/>
        </w:rPr>
        <w:t>.</w:t>
      </w:r>
    </w:p>
    <w:p w14:paraId="1BC144FA" w14:textId="77777777" w:rsidR="004C656D" w:rsidRPr="004C656D" w:rsidRDefault="004C656D" w:rsidP="004C656D">
      <w:pPr>
        <w:spacing w:before="120" w:after="120" w:line="240" w:lineRule="auto"/>
        <w:jc w:val="both"/>
        <w:rPr>
          <w:rFonts w:ascii="Kohinoor Devanagari" w:hAnsi="Kohinoor Devanagari" w:cs="Kohinoor Devanagari"/>
          <w:b/>
          <w:bCs/>
          <w:sz w:val="20"/>
          <w:szCs w:val="20"/>
          <w:shd w:val="clear" w:color="auto" w:fill="FFFFFF"/>
        </w:rPr>
      </w:pPr>
      <w:r w:rsidRPr="004C656D">
        <w:rPr>
          <w:rFonts w:ascii="Kohinoor Devanagari" w:hAnsi="Kohinoor Devanagari" w:cs="Kohinoor Devanagari"/>
          <w:b/>
          <w:bCs/>
          <w:sz w:val="20"/>
          <w:szCs w:val="20"/>
          <w:shd w:val="clear" w:color="auto" w:fill="FFFFFF"/>
        </w:rPr>
        <w:t>Objectifs stratégiques</w:t>
      </w:r>
    </w:p>
    <w:p w14:paraId="607FF91E" w14:textId="77777777" w:rsidR="004C656D" w:rsidRPr="004C656D" w:rsidRDefault="004C656D" w:rsidP="001059BE">
      <w:pPr>
        <w:numPr>
          <w:ilvl w:val="0"/>
          <w:numId w:val="163"/>
        </w:numPr>
        <w:spacing w:before="120" w:after="120" w:line="240" w:lineRule="auto"/>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 xml:space="preserve">Renforcer la </w:t>
      </w:r>
      <w:r w:rsidRPr="004C656D">
        <w:rPr>
          <w:rFonts w:ascii="Kohinoor Devanagari" w:hAnsi="Kohinoor Devanagari" w:cs="Kohinoor Devanagari"/>
          <w:b/>
          <w:bCs/>
          <w:sz w:val="20"/>
          <w:szCs w:val="20"/>
          <w:shd w:val="clear" w:color="auto" w:fill="FFFFFF"/>
        </w:rPr>
        <w:t>crédibilité des données</w:t>
      </w:r>
      <w:r w:rsidRPr="004C656D">
        <w:rPr>
          <w:rFonts w:ascii="Kohinoor Devanagari" w:hAnsi="Kohinoor Devanagari" w:cs="Kohinoor Devanagari"/>
          <w:sz w:val="20"/>
          <w:szCs w:val="20"/>
          <w:shd w:val="clear" w:color="auto" w:fill="FFFFFF"/>
        </w:rPr>
        <w:t xml:space="preserve"> diffusées via les systèmes gouvernementaux.</w:t>
      </w:r>
    </w:p>
    <w:p w14:paraId="2884ECFC" w14:textId="77777777" w:rsidR="004C656D" w:rsidRPr="004C656D" w:rsidRDefault="004C656D" w:rsidP="001059BE">
      <w:pPr>
        <w:numPr>
          <w:ilvl w:val="0"/>
          <w:numId w:val="163"/>
        </w:numPr>
        <w:spacing w:before="120" w:after="120" w:line="240" w:lineRule="auto"/>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 xml:space="preserve">Développer une approche </w:t>
      </w:r>
      <w:r w:rsidRPr="004C656D">
        <w:rPr>
          <w:rFonts w:ascii="Kohinoor Devanagari" w:hAnsi="Kohinoor Devanagari" w:cs="Kohinoor Devanagari"/>
          <w:b/>
          <w:bCs/>
          <w:sz w:val="20"/>
          <w:szCs w:val="20"/>
          <w:shd w:val="clear" w:color="auto" w:fill="FFFFFF"/>
        </w:rPr>
        <w:t>modulaire de l’assurance</w:t>
      </w:r>
      <w:r w:rsidRPr="004C656D">
        <w:rPr>
          <w:rFonts w:ascii="Kohinoor Devanagari" w:hAnsi="Kohinoor Devanagari" w:cs="Kohinoor Devanagari"/>
          <w:sz w:val="20"/>
          <w:szCs w:val="20"/>
          <w:shd w:val="clear" w:color="auto" w:fill="FFFFFF"/>
        </w:rPr>
        <w:t>, proportionnée aux risques.</w:t>
      </w:r>
    </w:p>
    <w:p w14:paraId="0E844768" w14:textId="77777777" w:rsidR="004C656D" w:rsidRPr="004C656D" w:rsidRDefault="004C656D" w:rsidP="001059BE">
      <w:pPr>
        <w:numPr>
          <w:ilvl w:val="0"/>
          <w:numId w:val="163"/>
        </w:numPr>
        <w:spacing w:before="120" w:after="120" w:line="240" w:lineRule="auto"/>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 xml:space="preserve">Appuyer la </w:t>
      </w:r>
      <w:r w:rsidRPr="004C656D">
        <w:rPr>
          <w:rFonts w:ascii="Kohinoor Devanagari" w:hAnsi="Kohinoor Devanagari" w:cs="Kohinoor Devanagari"/>
          <w:b/>
          <w:bCs/>
          <w:sz w:val="20"/>
          <w:szCs w:val="20"/>
          <w:shd w:val="clear" w:color="auto" w:fill="FFFFFF"/>
        </w:rPr>
        <w:t>transition progressive vers une publication autonome</w:t>
      </w:r>
      <w:r w:rsidRPr="004C656D">
        <w:rPr>
          <w:rFonts w:ascii="Kohinoor Devanagari" w:hAnsi="Kohinoor Devanagari" w:cs="Kohinoor Devanagari"/>
          <w:sz w:val="20"/>
          <w:szCs w:val="20"/>
          <w:shd w:val="clear" w:color="auto" w:fill="FFFFFF"/>
        </w:rPr>
        <w:t>, contrôlée par des mécanismes internes et indépendants.</w:t>
      </w:r>
    </w:p>
    <w:p w14:paraId="03B41BAE" w14:textId="77777777" w:rsidR="004C656D" w:rsidRPr="004C656D" w:rsidRDefault="004C656D" w:rsidP="004C656D">
      <w:pPr>
        <w:spacing w:before="120" w:after="120" w:line="240" w:lineRule="auto"/>
        <w:jc w:val="both"/>
        <w:rPr>
          <w:rFonts w:ascii="Kohinoor Devanagari" w:hAnsi="Kohinoor Devanagari" w:cs="Kohinoor Devanagari"/>
          <w:b/>
          <w:bCs/>
          <w:sz w:val="20"/>
          <w:szCs w:val="20"/>
          <w:shd w:val="clear" w:color="auto" w:fill="FFFFFF"/>
        </w:rPr>
      </w:pPr>
      <w:r w:rsidRPr="004C656D">
        <w:rPr>
          <w:rFonts w:ascii="Kohinoor Devanagari" w:hAnsi="Kohinoor Devanagari" w:cs="Kohinoor Devanagari"/>
          <w:b/>
          <w:bCs/>
          <w:sz w:val="20"/>
          <w:szCs w:val="20"/>
          <w:shd w:val="clear" w:color="auto" w:fill="FFFFFF"/>
        </w:rPr>
        <w:t>Principaux axes d’action</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154"/>
        <w:gridCol w:w="7184"/>
      </w:tblGrid>
      <w:tr w:rsidR="004C656D" w:rsidRPr="004C656D" w14:paraId="296E34F7" w14:textId="77777777" w:rsidTr="00696995">
        <w:trPr>
          <w:tblHeader/>
        </w:trPr>
        <w:tc>
          <w:tcPr>
            <w:tcW w:w="0" w:type="auto"/>
            <w:shd w:val="clear" w:color="auto" w:fill="47626F"/>
            <w:hideMark/>
          </w:tcPr>
          <w:p w14:paraId="2F968CD9" w14:textId="77777777" w:rsidR="004C656D" w:rsidRPr="004C656D" w:rsidRDefault="004C656D" w:rsidP="00696995">
            <w:pPr>
              <w:spacing w:before="40" w:after="40"/>
              <w:rPr>
                <w:rFonts w:ascii="Kohinoor Devanagari" w:hAnsi="Kohinoor Devanagari" w:cs="Kohinoor Devanagari"/>
                <w:b/>
                <w:bCs/>
                <w:color w:val="FFFFFF" w:themeColor="background1"/>
                <w:sz w:val="20"/>
                <w:szCs w:val="20"/>
              </w:rPr>
            </w:pPr>
            <w:r w:rsidRPr="004C656D">
              <w:rPr>
                <w:rFonts w:ascii="Kohinoor Devanagari" w:hAnsi="Kohinoor Devanagari" w:cs="Kohinoor Devanagari"/>
                <w:b/>
                <w:bCs/>
                <w:color w:val="FFFFFF" w:themeColor="background1"/>
                <w:sz w:val="20"/>
                <w:szCs w:val="20"/>
              </w:rPr>
              <w:t>Axe</w:t>
            </w:r>
          </w:p>
        </w:tc>
        <w:tc>
          <w:tcPr>
            <w:tcW w:w="0" w:type="auto"/>
            <w:shd w:val="clear" w:color="auto" w:fill="47626F"/>
            <w:hideMark/>
          </w:tcPr>
          <w:p w14:paraId="3DA621DF" w14:textId="77777777" w:rsidR="004C656D" w:rsidRPr="004C656D" w:rsidRDefault="004C656D" w:rsidP="00696995">
            <w:pPr>
              <w:spacing w:before="40" w:after="40"/>
              <w:rPr>
                <w:rFonts w:ascii="Kohinoor Devanagari" w:hAnsi="Kohinoor Devanagari" w:cs="Kohinoor Devanagari"/>
                <w:b/>
                <w:bCs/>
                <w:color w:val="FFFFFF" w:themeColor="background1"/>
                <w:sz w:val="20"/>
                <w:szCs w:val="20"/>
              </w:rPr>
            </w:pPr>
            <w:r w:rsidRPr="004C656D">
              <w:rPr>
                <w:rFonts w:ascii="Kohinoor Devanagari" w:hAnsi="Kohinoor Devanagari" w:cs="Kohinoor Devanagari"/>
                <w:b/>
                <w:bCs/>
                <w:color w:val="FFFFFF" w:themeColor="background1"/>
                <w:sz w:val="20"/>
                <w:szCs w:val="20"/>
              </w:rPr>
              <w:t>Description</w:t>
            </w:r>
          </w:p>
        </w:tc>
      </w:tr>
      <w:tr w:rsidR="004C656D" w:rsidRPr="004C656D" w14:paraId="102EF1FC" w14:textId="77777777" w:rsidTr="00303238">
        <w:tc>
          <w:tcPr>
            <w:tcW w:w="0" w:type="auto"/>
            <w:hideMark/>
          </w:tcPr>
          <w:p w14:paraId="03F2B01D"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b/>
                <w:bCs/>
                <w:sz w:val="20"/>
                <w:szCs w:val="20"/>
                <w:shd w:val="clear" w:color="auto" w:fill="FFFFFF"/>
              </w:rPr>
              <w:t>Redéfinition du rôle de l’AI</w:t>
            </w:r>
          </w:p>
        </w:tc>
        <w:tc>
          <w:tcPr>
            <w:tcW w:w="0" w:type="auto"/>
            <w:hideMark/>
          </w:tcPr>
          <w:p w14:paraId="105B0DD9"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Extension du mandat de l’Administrateur Indépendant au-delà de la réconciliation pour couvrir l’analyse des risques, la vérification de la qualité des systèmes sources, et la revue des données non financières.</w:t>
            </w:r>
          </w:p>
        </w:tc>
      </w:tr>
      <w:tr w:rsidR="004C656D" w:rsidRPr="004C656D" w14:paraId="09697C1F" w14:textId="77777777" w:rsidTr="00303238">
        <w:tc>
          <w:tcPr>
            <w:tcW w:w="0" w:type="auto"/>
            <w:hideMark/>
          </w:tcPr>
          <w:p w14:paraId="74061434"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b/>
                <w:bCs/>
                <w:sz w:val="20"/>
                <w:szCs w:val="20"/>
                <w:shd w:val="clear" w:color="auto" w:fill="FFFFFF"/>
              </w:rPr>
              <w:t>Cadre d’évaluation des risques</w:t>
            </w:r>
          </w:p>
        </w:tc>
        <w:tc>
          <w:tcPr>
            <w:tcW w:w="0" w:type="auto"/>
            <w:hideMark/>
          </w:tcPr>
          <w:p w14:paraId="28420FEB" w14:textId="20F1407A" w:rsidR="004C656D" w:rsidRPr="004C656D" w:rsidRDefault="00D74536" w:rsidP="00696995">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Convenir</w:t>
            </w:r>
            <w:r w:rsidR="004C656D" w:rsidRPr="004C656D">
              <w:rPr>
                <w:rFonts w:ascii="Kohinoor Devanagari" w:hAnsi="Kohinoor Devanagari" w:cs="Kohinoor Devanagari"/>
                <w:sz w:val="20"/>
                <w:szCs w:val="20"/>
                <w:shd w:val="clear" w:color="auto" w:fill="FFFFFF"/>
              </w:rPr>
              <w:t xml:space="preserve"> </w:t>
            </w:r>
            <w:r w:rsidR="00D160F8">
              <w:rPr>
                <w:rFonts w:ascii="Kohinoor Devanagari" w:hAnsi="Kohinoor Devanagari" w:cs="Kohinoor Devanagari"/>
                <w:sz w:val="20"/>
                <w:szCs w:val="20"/>
                <w:shd w:val="clear" w:color="auto" w:fill="FFFFFF"/>
              </w:rPr>
              <w:t>d'un cadre</w:t>
            </w:r>
            <w:r w:rsidR="004C656D" w:rsidRPr="004C656D">
              <w:rPr>
                <w:rFonts w:ascii="Kohinoor Devanagari" w:hAnsi="Kohinoor Devanagari" w:cs="Kohinoor Devanagari"/>
                <w:sz w:val="20"/>
                <w:szCs w:val="20"/>
                <w:shd w:val="clear" w:color="auto" w:fill="FFFFFF"/>
              </w:rPr>
              <w:t xml:space="preserve"> d’évaluation des risques de fiabilité des données selon les sources, les flux, les entités, et les enjeux ESG.</w:t>
            </w:r>
          </w:p>
        </w:tc>
      </w:tr>
      <w:tr w:rsidR="004C656D" w:rsidRPr="004C656D" w14:paraId="10D72AC2" w14:textId="77777777" w:rsidTr="00303238">
        <w:tc>
          <w:tcPr>
            <w:tcW w:w="0" w:type="auto"/>
            <w:hideMark/>
          </w:tcPr>
          <w:p w14:paraId="2ECB6B42"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b/>
                <w:bCs/>
                <w:sz w:val="20"/>
                <w:szCs w:val="20"/>
                <w:shd w:val="clear" w:color="auto" w:fill="FFFFFF"/>
              </w:rPr>
              <w:t>Procédures d’assurance adaptées</w:t>
            </w:r>
          </w:p>
        </w:tc>
        <w:tc>
          <w:tcPr>
            <w:tcW w:w="0" w:type="auto"/>
            <w:hideMark/>
          </w:tcPr>
          <w:p w14:paraId="4CDE8D15"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Définition de procédures de contrôle modulées selon le niveau de risque, incluant : réconciliations sélectives, vérifications d’intégrité des bases de données, revues documentaires et tests par échantillon.</w:t>
            </w:r>
          </w:p>
        </w:tc>
      </w:tr>
      <w:tr w:rsidR="004C656D" w:rsidRPr="004C656D" w14:paraId="1DD9C0D7" w14:textId="77777777" w:rsidTr="00303238">
        <w:tc>
          <w:tcPr>
            <w:tcW w:w="0" w:type="auto"/>
            <w:hideMark/>
          </w:tcPr>
          <w:p w14:paraId="29901CEF"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b/>
                <w:bCs/>
                <w:sz w:val="20"/>
                <w:szCs w:val="20"/>
                <w:shd w:val="clear" w:color="auto" w:fill="FFFFFF"/>
              </w:rPr>
              <w:t>Appui aux contrôles internes</w:t>
            </w:r>
          </w:p>
        </w:tc>
        <w:tc>
          <w:tcPr>
            <w:tcW w:w="0" w:type="auto"/>
            <w:hideMark/>
          </w:tcPr>
          <w:p w14:paraId="18B2C91B"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Renforcement des systèmes de contrôle interne dans les régies, les entreprises publiques et les collectivités : validation des flux, pistes d’audit, double saisie, alertes automatiques.</w:t>
            </w:r>
          </w:p>
        </w:tc>
      </w:tr>
      <w:tr w:rsidR="004C656D" w:rsidRPr="004C656D" w14:paraId="293BAFB3" w14:textId="77777777" w:rsidTr="00303238">
        <w:tc>
          <w:tcPr>
            <w:tcW w:w="0" w:type="auto"/>
            <w:hideMark/>
          </w:tcPr>
          <w:p w14:paraId="45C7BC24"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b/>
                <w:bCs/>
                <w:sz w:val="20"/>
                <w:szCs w:val="20"/>
                <w:shd w:val="clear" w:color="auto" w:fill="FFFFFF"/>
              </w:rPr>
              <w:lastRenderedPageBreak/>
              <w:t>Revue réglementaire et fiscale</w:t>
            </w:r>
          </w:p>
        </w:tc>
        <w:tc>
          <w:tcPr>
            <w:tcW w:w="0" w:type="auto"/>
            <w:hideMark/>
          </w:tcPr>
          <w:p w14:paraId="1A898839"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Vérification périodique de la conformité des obligations déclaratives aux législations en vigueur, incluant l’ESG.</w:t>
            </w:r>
          </w:p>
        </w:tc>
      </w:tr>
      <w:tr w:rsidR="004C656D" w:rsidRPr="004C656D" w14:paraId="0362C675" w14:textId="77777777" w:rsidTr="00303238">
        <w:tc>
          <w:tcPr>
            <w:tcW w:w="0" w:type="auto"/>
            <w:hideMark/>
          </w:tcPr>
          <w:p w14:paraId="590EBBEE"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b/>
                <w:bCs/>
                <w:sz w:val="20"/>
                <w:szCs w:val="20"/>
                <w:shd w:val="clear" w:color="auto" w:fill="FFFFFF"/>
              </w:rPr>
              <w:t>Plan d’amélioration continue</w:t>
            </w:r>
          </w:p>
        </w:tc>
        <w:tc>
          <w:tcPr>
            <w:tcW w:w="0" w:type="auto"/>
            <w:hideMark/>
          </w:tcPr>
          <w:p w14:paraId="254C83A3" w14:textId="77777777" w:rsidR="004C656D" w:rsidRPr="004C656D" w:rsidRDefault="004C656D" w:rsidP="00696995">
            <w:pPr>
              <w:spacing w:before="40" w:after="40"/>
              <w:jc w:val="both"/>
              <w:rPr>
                <w:rFonts w:ascii="Kohinoor Devanagari" w:hAnsi="Kohinoor Devanagari" w:cs="Kohinoor Devanagari"/>
                <w:sz w:val="20"/>
                <w:szCs w:val="20"/>
                <w:shd w:val="clear" w:color="auto" w:fill="FFFFFF"/>
              </w:rPr>
            </w:pPr>
            <w:r w:rsidRPr="004C656D">
              <w:rPr>
                <w:rFonts w:ascii="Kohinoor Devanagari" w:hAnsi="Kohinoor Devanagari" w:cs="Kohinoor Devanagari"/>
                <w:sz w:val="20"/>
                <w:szCs w:val="20"/>
                <w:shd w:val="clear" w:color="auto" w:fill="FFFFFF"/>
              </w:rPr>
              <w:t>Intégration des résultats des évaluations dans des cycles d’amélioration : formation ciblée, mise à jour des canevas, audit des systèmes informatiques.</w:t>
            </w:r>
          </w:p>
        </w:tc>
      </w:tr>
    </w:tbl>
    <w:p w14:paraId="3CC50B3D" w14:textId="3BB9C218" w:rsidR="00330D54" w:rsidRPr="00330D54" w:rsidRDefault="00330D54"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5" w:name="_Toc204691632"/>
      <w:r w:rsidRPr="00330D54">
        <w:rPr>
          <w:rFonts w:ascii="Kohinoor Devanagari" w:eastAsia="Times New Roman" w:hAnsi="Kohinoor Devanagari" w:cs="Kohinoor Devanagari"/>
          <w:b/>
          <w:bCs/>
          <w:color w:val="000000" w:themeColor="text1"/>
          <w:sz w:val="20"/>
          <w:szCs w:val="20"/>
          <w:lang w:eastAsia="fr-FR"/>
        </w:rPr>
        <w:t>Cadre de coordination et gouvernance</w:t>
      </w:r>
      <w:bookmarkEnd w:id="45"/>
    </w:p>
    <w:p w14:paraId="6E4CE8FE" w14:textId="77777777" w:rsidR="00330D54" w:rsidRPr="00330D54" w:rsidRDefault="00330D54" w:rsidP="000D3A63">
      <w:p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La gouvernance de la divulgation systématique sera articulée autour de deux structures complémentaires, assurant à la fois la coordination opérationnelle, l’arbitrage stratégique, et la fiabilisation des données.</w:t>
      </w:r>
    </w:p>
    <w:p w14:paraId="15FFD80A" w14:textId="77777777" w:rsidR="00CA496D" w:rsidRPr="000D3A63" w:rsidRDefault="00330D54" w:rsidP="000D3A63">
      <w:pPr>
        <w:spacing w:before="120" w:after="120" w:line="240" w:lineRule="auto"/>
        <w:jc w:val="both"/>
        <w:rPr>
          <w:rFonts w:ascii="Kohinoor Devanagari" w:hAnsi="Kohinoor Devanagari" w:cs="Kohinoor Devanagari"/>
          <w:b/>
          <w:bCs/>
          <w:sz w:val="20"/>
          <w:szCs w:val="20"/>
          <w:shd w:val="clear" w:color="auto" w:fill="FFFFFF"/>
        </w:rPr>
      </w:pPr>
      <w:r w:rsidRPr="00330D54">
        <w:rPr>
          <w:rFonts w:ascii="Kohinoor Devanagari" w:hAnsi="Kohinoor Devanagari" w:cs="Kohinoor Devanagari"/>
          <w:b/>
          <w:bCs/>
          <w:sz w:val="20"/>
          <w:szCs w:val="20"/>
          <w:shd w:val="clear" w:color="auto" w:fill="FFFFFF"/>
        </w:rPr>
        <w:t>a) Comité technique interinstitutionnel</w:t>
      </w:r>
    </w:p>
    <w:p w14:paraId="17933D34" w14:textId="26AE97D8" w:rsidR="00330D54" w:rsidRPr="00330D54" w:rsidRDefault="00330D54" w:rsidP="000D3A63">
      <w:p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Coordonné par l</w:t>
      </w:r>
      <w:r w:rsidR="000D3A63">
        <w:rPr>
          <w:rFonts w:ascii="Kohinoor Devanagari" w:hAnsi="Kohinoor Devanagari" w:cs="Kohinoor Devanagari"/>
          <w:sz w:val="20"/>
          <w:szCs w:val="20"/>
          <w:shd w:val="clear" w:color="auto" w:fill="FFFFFF"/>
        </w:rPr>
        <w:t>e SP-ITIE</w:t>
      </w:r>
      <w:r w:rsidRPr="00330D54">
        <w:rPr>
          <w:rFonts w:ascii="Kohinoor Devanagari" w:hAnsi="Kohinoor Devanagari" w:cs="Kohinoor Devanagari"/>
          <w:sz w:val="20"/>
          <w:szCs w:val="20"/>
          <w:shd w:val="clear" w:color="auto" w:fill="FFFFFF"/>
        </w:rPr>
        <w:t xml:space="preserve">, ce comité associe les équipes techniques de la </w:t>
      </w:r>
      <w:r w:rsidR="0034651E" w:rsidRPr="0034651E">
        <w:rPr>
          <w:rFonts w:ascii="Kohinoor Devanagari" w:hAnsi="Kohinoor Devanagari" w:cs="Kohinoor Devanagari"/>
          <w:b/>
          <w:bCs/>
          <w:sz w:val="20"/>
          <w:szCs w:val="20"/>
          <w:shd w:val="clear" w:color="auto" w:fill="FFFFFF"/>
        </w:rPr>
        <w:t>DGTCFM ,</w:t>
      </w:r>
      <w:r w:rsidR="0034651E">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DGI</w:t>
      </w:r>
      <w:r w:rsidRPr="00330D54">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DGD</w:t>
      </w:r>
      <w:r w:rsidRPr="00330D54">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MINFI</w:t>
      </w:r>
      <w:r w:rsidRPr="00330D54">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MINMIDT</w:t>
      </w:r>
      <w:r w:rsidRPr="00330D54">
        <w:rPr>
          <w:rFonts w:ascii="Kohinoor Devanagari" w:hAnsi="Kohinoor Devanagari" w:cs="Kohinoor Devanagari"/>
          <w:sz w:val="20"/>
          <w:szCs w:val="20"/>
          <w:shd w:val="clear" w:color="auto" w:fill="FFFFFF"/>
        </w:rPr>
        <w:t>,</w:t>
      </w:r>
      <w:r w:rsidR="00742FE9">
        <w:rPr>
          <w:rFonts w:ascii="Kohinoor Devanagari" w:hAnsi="Kohinoor Devanagari" w:cs="Kohinoor Devanagari"/>
          <w:sz w:val="20"/>
          <w:szCs w:val="20"/>
          <w:shd w:val="clear" w:color="auto" w:fill="FFFFFF"/>
        </w:rPr>
        <w:t xml:space="preserve"> </w:t>
      </w:r>
      <w:r w:rsidR="00742FE9" w:rsidRPr="00567C18">
        <w:rPr>
          <w:rFonts w:ascii="Kohinoor Devanagari" w:hAnsi="Kohinoor Devanagari" w:cs="Kohinoor Devanagari"/>
          <w:b/>
          <w:bCs/>
          <w:sz w:val="20"/>
          <w:szCs w:val="20"/>
          <w:shd w:val="clear" w:color="auto" w:fill="FFFFFF"/>
        </w:rPr>
        <w:t>MINPE</w:t>
      </w:r>
      <w:r w:rsidR="00567C18" w:rsidRPr="00567C18">
        <w:rPr>
          <w:rFonts w:ascii="Kohinoor Devanagari" w:hAnsi="Kohinoor Devanagari" w:cs="Kohinoor Devanagari"/>
          <w:b/>
          <w:bCs/>
          <w:sz w:val="20"/>
          <w:szCs w:val="20"/>
          <w:shd w:val="clear" w:color="auto" w:fill="FFFFFF"/>
        </w:rPr>
        <w:t>PDED,</w:t>
      </w:r>
      <w:r w:rsidRPr="00330D54">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SNH</w:t>
      </w:r>
      <w:r w:rsidRPr="00330D54">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SONAMINES</w:t>
      </w:r>
      <w:r w:rsidRPr="00330D54">
        <w:rPr>
          <w:rFonts w:ascii="Kohinoor Devanagari" w:hAnsi="Kohinoor Devanagari" w:cs="Kohinoor Devanagari"/>
          <w:sz w:val="20"/>
          <w:szCs w:val="20"/>
          <w:shd w:val="clear" w:color="auto" w:fill="FFFFFF"/>
        </w:rPr>
        <w:t xml:space="preserve">, </w:t>
      </w:r>
      <w:r w:rsidRPr="00330D54">
        <w:rPr>
          <w:rFonts w:ascii="Kohinoor Devanagari" w:hAnsi="Kohinoor Devanagari" w:cs="Kohinoor Devanagari"/>
          <w:b/>
          <w:bCs/>
          <w:sz w:val="20"/>
          <w:szCs w:val="20"/>
          <w:shd w:val="clear" w:color="auto" w:fill="FFFFFF"/>
        </w:rPr>
        <w:t>INS</w:t>
      </w:r>
      <w:r w:rsidR="005C52A1">
        <w:rPr>
          <w:rFonts w:ascii="Kohinoor Devanagari" w:hAnsi="Kohinoor Devanagari" w:cs="Kohinoor Devanagari"/>
          <w:b/>
          <w:bCs/>
          <w:sz w:val="20"/>
          <w:szCs w:val="20"/>
          <w:shd w:val="clear" w:color="auto" w:fill="FFFFFF"/>
        </w:rPr>
        <w:t>, RCCM</w:t>
      </w:r>
      <w:r w:rsidRPr="00330D54">
        <w:rPr>
          <w:rFonts w:ascii="Kohinoor Devanagari" w:hAnsi="Kohinoor Devanagari" w:cs="Kohinoor Devanagari"/>
          <w:sz w:val="20"/>
          <w:szCs w:val="20"/>
          <w:shd w:val="clear" w:color="auto" w:fill="FFFFFF"/>
        </w:rPr>
        <w:t>. Il est chargé de :</w:t>
      </w:r>
    </w:p>
    <w:p w14:paraId="069FC125" w14:textId="3FAFF86E" w:rsidR="00330D54" w:rsidRPr="00330D54" w:rsidRDefault="00330D54" w:rsidP="001059BE">
      <w:pPr>
        <w:numPr>
          <w:ilvl w:val="0"/>
          <w:numId w:val="157"/>
        </w:numPr>
        <w:spacing w:before="120" w:after="120" w:line="240" w:lineRule="auto"/>
        <w:ind w:left="714" w:hanging="357"/>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superviser les développements informatiques (connecteurs, extracteurs, tableaux de bord);</w:t>
      </w:r>
    </w:p>
    <w:p w14:paraId="39C16655" w14:textId="77777777" w:rsidR="00330D54" w:rsidRPr="00330D54" w:rsidRDefault="00330D54" w:rsidP="001059BE">
      <w:pPr>
        <w:numPr>
          <w:ilvl w:val="0"/>
          <w:numId w:val="157"/>
        </w:numPr>
        <w:spacing w:before="120" w:after="120" w:line="240" w:lineRule="auto"/>
        <w:ind w:left="714" w:hanging="357"/>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définir les formats normalisés de publication ;</w:t>
      </w:r>
    </w:p>
    <w:p w14:paraId="4B7FA611" w14:textId="77777777" w:rsidR="00330D54" w:rsidRPr="00330D54" w:rsidRDefault="00330D54" w:rsidP="001059BE">
      <w:pPr>
        <w:numPr>
          <w:ilvl w:val="0"/>
          <w:numId w:val="157"/>
        </w:numPr>
        <w:spacing w:before="120" w:after="120" w:line="240" w:lineRule="auto"/>
        <w:ind w:left="714" w:hanging="357"/>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valider la cohérence des jeux de données interopérables ;</w:t>
      </w:r>
    </w:p>
    <w:p w14:paraId="7B12B62F" w14:textId="77777777" w:rsidR="00330D54" w:rsidRPr="00330D54" w:rsidRDefault="00330D54" w:rsidP="001059BE">
      <w:pPr>
        <w:numPr>
          <w:ilvl w:val="0"/>
          <w:numId w:val="157"/>
        </w:num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assurer le suivi des échéances de publication et de mise à jour.</w:t>
      </w:r>
    </w:p>
    <w:p w14:paraId="09DFF37A" w14:textId="77777777" w:rsidR="0034651E" w:rsidRDefault="00330D54" w:rsidP="000D3A63">
      <w:pPr>
        <w:spacing w:before="120" w:after="120" w:line="240" w:lineRule="auto"/>
        <w:jc w:val="both"/>
        <w:rPr>
          <w:rFonts w:ascii="Kohinoor Devanagari" w:hAnsi="Kohinoor Devanagari" w:cs="Kohinoor Devanagari"/>
          <w:b/>
          <w:bCs/>
          <w:sz w:val="20"/>
          <w:szCs w:val="20"/>
          <w:shd w:val="clear" w:color="auto" w:fill="FFFFFF"/>
        </w:rPr>
      </w:pPr>
      <w:r w:rsidRPr="00330D54">
        <w:rPr>
          <w:rFonts w:ascii="Kohinoor Devanagari" w:hAnsi="Kohinoor Devanagari" w:cs="Kohinoor Devanagari"/>
          <w:b/>
          <w:bCs/>
          <w:sz w:val="20"/>
          <w:szCs w:val="20"/>
          <w:shd w:val="clear" w:color="auto" w:fill="FFFFFF"/>
        </w:rPr>
        <w:t>b) Groupe de pilotage stratégique</w:t>
      </w:r>
      <w:r w:rsidR="0034651E">
        <w:rPr>
          <w:rFonts w:ascii="Kohinoor Devanagari" w:hAnsi="Kohinoor Devanagari" w:cs="Kohinoor Devanagari"/>
          <w:b/>
          <w:bCs/>
          <w:sz w:val="20"/>
          <w:szCs w:val="20"/>
          <w:shd w:val="clear" w:color="auto" w:fill="FFFFFF"/>
        </w:rPr>
        <w:t xml:space="preserve"> : </w:t>
      </w:r>
    </w:p>
    <w:p w14:paraId="17E42B61" w14:textId="1303FA6F" w:rsidR="00330D54" w:rsidRPr="00330D54" w:rsidRDefault="00330D54" w:rsidP="000D3A63">
      <w:p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 xml:space="preserve">Présidé par le </w:t>
      </w:r>
      <w:r w:rsidRPr="00330D54">
        <w:rPr>
          <w:rFonts w:ascii="Kohinoor Devanagari" w:hAnsi="Kohinoor Devanagari" w:cs="Kohinoor Devanagari"/>
          <w:b/>
          <w:bCs/>
          <w:sz w:val="20"/>
          <w:szCs w:val="20"/>
          <w:shd w:val="clear" w:color="auto" w:fill="FFFFFF"/>
        </w:rPr>
        <w:t>Comité ITIE</w:t>
      </w:r>
      <w:r w:rsidRPr="00330D54">
        <w:rPr>
          <w:rFonts w:ascii="Kohinoor Devanagari" w:hAnsi="Kohinoor Devanagari" w:cs="Kohinoor Devanagari"/>
          <w:sz w:val="20"/>
          <w:szCs w:val="20"/>
          <w:shd w:val="clear" w:color="auto" w:fill="FFFFFF"/>
        </w:rPr>
        <w:t xml:space="preserve">, ce groupe regroupe les représentants de haut niveau du </w:t>
      </w:r>
      <w:r w:rsidRPr="00330D54">
        <w:rPr>
          <w:rFonts w:ascii="Kohinoor Devanagari" w:hAnsi="Kohinoor Devanagari" w:cs="Kohinoor Devanagari"/>
          <w:b/>
          <w:bCs/>
          <w:sz w:val="20"/>
          <w:szCs w:val="20"/>
          <w:shd w:val="clear" w:color="auto" w:fill="FFFFFF"/>
        </w:rPr>
        <w:t>MINFI</w:t>
      </w:r>
      <w:r w:rsidRPr="00330D54">
        <w:rPr>
          <w:rFonts w:ascii="Kohinoor Devanagari" w:hAnsi="Kohinoor Devanagari" w:cs="Kohinoor Devanagari"/>
          <w:sz w:val="20"/>
          <w:szCs w:val="20"/>
          <w:shd w:val="clear" w:color="auto" w:fill="FFFFFF"/>
        </w:rPr>
        <w:t>, d</w:t>
      </w:r>
      <w:r w:rsidR="00720B8F">
        <w:rPr>
          <w:rFonts w:ascii="Kohinoor Devanagari" w:hAnsi="Kohinoor Devanagari" w:cs="Kohinoor Devanagari"/>
          <w:sz w:val="20"/>
          <w:szCs w:val="20"/>
          <w:shd w:val="clear" w:color="auto" w:fill="FFFFFF"/>
        </w:rPr>
        <w:t xml:space="preserve">u </w:t>
      </w:r>
      <w:r w:rsidR="00720B8F" w:rsidRPr="00720B8F">
        <w:rPr>
          <w:rFonts w:ascii="Kohinoor Devanagari" w:hAnsi="Kohinoor Devanagari" w:cs="Kohinoor Devanagari"/>
          <w:b/>
          <w:bCs/>
          <w:sz w:val="20"/>
          <w:szCs w:val="20"/>
          <w:shd w:val="clear" w:color="auto" w:fill="FFFFFF"/>
        </w:rPr>
        <w:t>MINMIDT,</w:t>
      </w:r>
      <w:r w:rsidR="00720B8F">
        <w:rPr>
          <w:rFonts w:ascii="Kohinoor Devanagari" w:hAnsi="Kohinoor Devanagari" w:cs="Kohinoor Devanagari"/>
          <w:sz w:val="20"/>
          <w:szCs w:val="20"/>
          <w:shd w:val="clear" w:color="auto" w:fill="FFFFFF"/>
        </w:rPr>
        <w:t xml:space="preserve"> du </w:t>
      </w:r>
      <w:r w:rsidR="00720B8F" w:rsidRPr="00567C18">
        <w:rPr>
          <w:rFonts w:ascii="Kohinoor Devanagari" w:hAnsi="Kohinoor Devanagari" w:cs="Kohinoor Devanagari"/>
          <w:b/>
          <w:bCs/>
          <w:sz w:val="20"/>
          <w:szCs w:val="20"/>
          <w:shd w:val="clear" w:color="auto" w:fill="FFFFFF"/>
        </w:rPr>
        <w:t>MINPEPDED</w:t>
      </w:r>
      <w:r w:rsidR="00720B8F">
        <w:rPr>
          <w:rFonts w:ascii="Kohinoor Devanagari" w:hAnsi="Kohinoor Devanagari" w:cs="Kohinoor Devanagari"/>
          <w:b/>
          <w:bCs/>
          <w:sz w:val="20"/>
          <w:szCs w:val="20"/>
          <w:shd w:val="clear" w:color="auto" w:fill="FFFFFF"/>
        </w:rPr>
        <w:t xml:space="preserve">, </w:t>
      </w:r>
      <w:r w:rsidRPr="00330D54">
        <w:rPr>
          <w:rFonts w:ascii="Kohinoor Devanagari" w:hAnsi="Kohinoor Devanagari" w:cs="Kohinoor Devanagari"/>
          <w:sz w:val="20"/>
          <w:szCs w:val="20"/>
          <w:shd w:val="clear" w:color="auto" w:fill="FFFFFF"/>
        </w:rPr>
        <w:t xml:space="preserve"> la </w:t>
      </w:r>
      <w:r w:rsidRPr="00330D54">
        <w:rPr>
          <w:rFonts w:ascii="Kohinoor Devanagari" w:hAnsi="Kohinoor Devanagari" w:cs="Kohinoor Devanagari"/>
          <w:b/>
          <w:bCs/>
          <w:sz w:val="20"/>
          <w:szCs w:val="20"/>
          <w:shd w:val="clear" w:color="auto" w:fill="FFFFFF"/>
        </w:rPr>
        <w:t>SNH</w:t>
      </w:r>
      <w:r w:rsidRPr="00330D54">
        <w:rPr>
          <w:rFonts w:ascii="Kohinoor Devanagari" w:hAnsi="Kohinoor Devanagari" w:cs="Kohinoor Devanagari"/>
          <w:sz w:val="20"/>
          <w:szCs w:val="20"/>
          <w:shd w:val="clear" w:color="auto" w:fill="FFFFFF"/>
        </w:rPr>
        <w:t xml:space="preserve">, </w:t>
      </w:r>
      <w:r w:rsidR="00720B8F">
        <w:rPr>
          <w:rFonts w:ascii="Kohinoor Devanagari" w:hAnsi="Kohinoor Devanagari" w:cs="Kohinoor Devanagari"/>
          <w:sz w:val="20"/>
          <w:szCs w:val="20"/>
          <w:shd w:val="clear" w:color="auto" w:fill="FFFFFF"/>
        </w:rPr>
        <w:t>la SONAMINES</w:t>
      </w:r>
      <w:r w:rsidRPr="00330D54">
        <w:rPr>
          <w:rFonts w:ascii="Kohinoor Devanagari" w:hAnsi="Kohinoor Devanagari" w:cs="Kohinoor Devanagari"/>
          <w:sz w:val="20"/>
          <w:szCs w:val="20"/>
          <w:shd w:val="clear" w:color="auto" w:fill="FFFFFF"/>
        </w:rPr>
        <w:t xml:space="preserve">, des </w:t>
      </w:r>
      <w:r w:rsidRPr="00330D54">
        <w:rPr>
          <w:rFonts w:ascii="Kohinoor Devanagari" w:hAnsi="Kohinoor Devanagari" w:cs="Kohinoor Devanagari"/>
          <w:b/>
          <w:bCs/>
          <w:sz w:val="20"/>
          <w:szCs w:val="20"/>
          <w:shd w:val="clear" w:color="auto" w:fill="FFFFFF"/>
        </w:rPr>
        <w:t>collectivités territoriales</w:t>
      </w:r>
      <w:r w:rsidRPr="00330D54">
        <w:rPr>
          <w:rFonts w:ascii="Kohinoor Devanagari" w:hAnsi="Kohinoor Devanagari" w:cs="Kohinoor Devanagari"/>
          <w:sz w:val="20"/>
          <w:szCs w:val="20"/>
          <w:shd w:val="clear" w:color="auto" w:fill="FFFFFF"/>
        </w:rPr>
        <w:t xml:space="preserve">, de la </w:t>
      </w:r>
      <w:r w:rsidRPr="00330D54">
        <w:rPr>
          <w:rFonts w:ascii="Kohinoor Devanagari" w:hAnsi="Kohinoor Devanagari" w:cs="Kohinoor Devanagari"/>
          <w:b/>
          <w:bCs/>
          <w:sz w:val="20"/>
          <w:szCs w:val="20"/>
          <w:shd w:val="clear" w:color="auto" w:fill="FFFFFF"/>
        </w:rPr>
        <w:t>société civile</w:t>
      </w:r>
      <w:r w:rsidRPr="00330D54">
        <w:rPr>
          <w:rFonts w:ascii="Kohinoor Devanagari" w:hAnsi="Kohinoor Devanagari" w:cs="Kohinoor Devanagari"/>
          <w:sz w:val="20"/>
          <w:szCs w:val="20"/>
          <w:shd w:val="clear" w:color="auto" w:fill="FFFFFF"/>
        </w:rPr>
        <w:t xml:space="preserve">, des </w:t>
      </w:r>
      <w:r w:rsidRPr="00330D54">
        <w:rPr>
          <w:rFonts w:ascii="Kohinoor Devanagari" w:hAnsi="Kohinoor Devanagari" w:cs="Kohinoor Devanagari"/>
          <w:b/>
          <w:bCs/>
          <w:sz w:val="20"/>
          <w:szCs w:val="20"/>
          <w:shd w:val="clear" w:color="auto" w:fill="FFFFFF"/>
        </w:rPr>
        <w:t>entreprises extractives privées</w:t>
      </w:r>
      <w:r w:rsidRPr="00330D54">
        <w:rPr>
          <w:rFonts w:ascii="Kohinoor Devanagari" w:hAnsi="Kohinoor Devanagari" w:cs="Kohinoor Devanagari"/>
          <w:sz w:val="20"/>
          <w:szCs w:val="20"/>
          <w:shd w:val="clear" w:color="auto" w:fill="FFFFFF"/>
        </w:rPr>
        <w:t>. Il est chargé de :</w:t>
      </w:r>
    </w:p>
    <w:p w14:paraId="2760D6EC" w14:textId="77777777" w:rsidR="00330D54" w:rsidRPr="00330D54" w:rsidRDefault="00330D54" w:rsidP="001059BE">
      <w:pPr>
        <w:numPr>
          <w:ilvl w:val="0"/>
          <w:numId w:val="158"/>
        </w:num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fixer les grandes orientations stratégiques et les priorités de divulgation ;</w:t>
      </w:r>
    </w:p>
    <w:p w14:paraId="4921D56E" w14:textId="77777777" w:rsidR="00330D54" w:rsidRPr="00330D54" w:rsidRDefault="00330D54" w:rsidP="001059BE">
      <w:pPr>
        <w:numPr>
          <w:ilvl w:val="0"/>
          <w:numId w:val="158"/>
        </w:num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approuver les canevas et méthodologies proposés par le comité technique ;</w:t>
      </w:r>
    </w:p>
    <w:p w14:paraId="3205B18E" w14:textId="77777777" w:rsidR="00330D54" w:rsidRPr="00330D54" w:rsidRDefault="00330D54" w:rsidP="001059BE">
      <w:pPr>
        <w:numPr>
          <w:ilvl w:val="0"/>
          <w:numId w:val="158"/>
        </w:num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arbitrer les choix relatifs à la désagrégation, à l’ouverture des données sensibles ou confidentielles ;</w:t>
      </w:r>
    </w:p>
    <w:p w14:paraId="1F797133" w14:textId="77777777" w:rsidR="00330D54" w:rsidRPr="00330D54" w:rsidRDefault="00330D54" w:rsidP="001059BE">
      <w:pPr>
        <w:numPr>
          <w:ilvl w:val="0"/>
          <w:numId w:val="158"/>
        </w:num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renforcer l’adhésion des parties prenantes et la mobilisation des ressources.</w:t>
      </w:r>
    </w:p>
    <w:p w14:paraId="10F8787D" w14:textId="77777777" w:rsidR="00330D54" w:rsidRPr="00330D54" w:rsidRDefault="00330D54" w:rsidP="000D3A63">
      <w:pPr>
        <w:spacing w:before="120" w:after="120" w:line="240" w:lineRule="auto"/>
        <w:jc w:val="both"/>
        <w:rPr>
          <w:rFonts w:ascii="Kohinoor Devanagari" w:hAnsi="Kohinoor Devanagari" w:cs="Kohinoor Devanagari"/>
          <w:sz w:val="20"/>
          <w:szCs w:val="20"/>
          <w:shd w:val="clear" w:color="auto" w:fill="FFFFFF"/>
        </w:rPr>
      </w:pPr>
      <w:r w:rsidRPr="00330D54">
        <w:rPr>
          <w:rFonts w:ascii="Kohinoor Devanagari" w:hAnsi="Kohinoor Devanagari" w:cs="Kohinoor Devanagari"/>
          <w:sz w:val="20"/>
          <w:szCs w:val="20"/>
          <w:shd w:val="clear" w:color="auto" w:fill="FFFFFF"/>
        </w:rPr>
        <w:t>Ce cadre de gouvernance favorise une approche collaborative, renforçant la confiance entre producteurs, utilisateurs et vérificateurs des données, tout en consolidant la transition vers un système durable de transparence extractive.</w:t>
      </w:r>
    </w:p>
    <w:p w14:paraId="3607C739" w14:textId="77777777" w:rsidR="00CB4D41" w:rsidRDefault="00CB4D41">
      <w:pPr>
        <w:rPr>
          <w:rFonts w:ascii="Kohinoor Devanagari" w:eastAsia="Times New Roman" w:hAnsi="Kohinoor Devanagari" w:cs="Kohinoor Devanagari"/>
          <w:b/>
          <w:bCs/>
          <w:color w:val="000000" w:themeColor="text1"/>
          <w:sz w:val="20"/>
          <w:szCs w:val="20"/>
          <w:lang w:eastAsia="fr-FR"/>
        </w:rPr>
      </w:pPr>
      <w:r>
        <w:rPr>
          <w:rFonts w:ascii="Kohinoor Devanagari" w:eastAsia="Times New Roman" w:hAnsi="Kohinoor Devanagari" w:cs="Kohinoor Devanagari"/>
          <w:b/>
          <w:bCs/>
          <w:color w:val="000000" w:themeColor="text1"/>
          <w:sz w:val="20"/>
          <w:szCs w:val="20"/>
          <w:lang w:eastAsia="fr-FR"/>
        </w:rPr>
        <w:br w:type="page"/>
      </w:r>
    </w:p>
    <w:p w14:paraId="2B004E11" w14:textId="3426228A" w:rsidR="00992C87" w:rsidRPr="003D1EE5" w:rsidRDefault="003D1EE5"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6" w:name="_Toc204691633"/>
      <w:r w:rsidRPr="003D1EE5">
        <w:rPr>
          <w:rFonts w:ascii="Kohinoor Devanagari" w:eastAsia="Times New Roman" w:hAnsi="Kohinoor Devanagari" w:cs="Kohinoor Devanagari"/>
          <w:b/>
          <w:bCs/>
          <w:color w:val="000000" w:themeColor="text1"/>
          <w:sz w:val="20"/>
          <w:szCs w:val="20"/>
          <w:lang w:eastAsia="fr-FR"/>
        </w:rPr>
        <w:lastRenderedPageBreak/>
        <w:t>Besoins techniques prioritaires</w:t>
      </w:r>
      <w:bookmarkEnd w:id="46"/>
    </w:p>
    <w:p w14:paraId="330BE5D7" w14:textId="4E96DE0E" w:rsidR="00031696" w:rsidRPr="00031696" w:rsidRDefault="00031696" w:rsidP="00031696">
      <w:pPr>
        <w:spacing w:before="120" w:after="120" w:line="240" w:lineRule="auto"/>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 xml:space="preserve">La transition vers la divulgation systématique au Cameroun nécessite une infrastructure technique robuste, interopérable et progressive. Cette infrastructure doit s’appuyer sur les systèmes existants (PATRIMONIE, cadastre minier, RCCM, portail </w:t>
      </w:r>
      <w:proofErr w:type="gramStart"/>
      <w:r w:rsidRPr="00031696">
        <w:rPr>
          <w:rFonts w:ascii="Kohinoor Devanagari" w:hAnsi="Kohinoor Devanagari" w:cs="Kohinoor Devanagari"/>
          <w:sz w:val="20"/>
          <w:szCs w:val="20"/>
          <w:shd w:val="clear" w:color="auto" w:fill="FFFFFF"/>
        </w:rPr>
        <w:t>BE</w:t>
      </w:r>
      <w:r w:rsidR="003D1EE5">
        <w:rPr>
          <w:rFonts w:ascii="Kohinoor Devanagari" w:hAnsi="Kohinoor Devanagari" w:cs="Kohinoor Devanagari"/>
          <w:sz w:val="20"/>
          <w:szCs w:val="20"/>
          <w:shd w:val="clear" w:color="auto" w:fill="FFFFFF"/>
        </w:rPr>
        <w:t>..</w:t>
      </w:r>
      <w:proofErr w:type="gramEnd"/>
      <w:r w:rsidRPr="00031696">
        <w:rPr>
          <w:rFonts w:ascii="Kohinoor Devanagari" w:hAnsi="Kohinoor Devanagari" w:cs="Kohinoor Devanagari"/>
          <w:sz w:val="20"/>
          <w:szCs w:val="20"/>
          <w:shd w:val="clear" w:color="auto" w:fill="FFFFFF"/>
        </w:rPr>
        <w:t>) et être encadrée par un cahier des charges unifié, garantissant la cohérence, la sécurité et la durabilité du dispositif. Les besoins ci-dessous sont considérés comme prioritaires :</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552"/>
        <w:gridCol w:w="2197"/>
        <w:gridCol w:w="4598"/>
        <w:gridCol w:w="1991"/>
      </w:tblGrid>
      <w:tr w:rsidR="00031696" w:rsidRPr="00031696" w14:paraId="111519F5" w14:textId="77777777" w:rsidTr="006968A5">
        <w:trPr>
          <w:tblHeader/>
        </w:trPr>
        <w:tc>
          <w:tcPr>
            <w:tcW w:w="0" w:type="auto"/>
            <w:shd w:val="clear" w:color="auto" w:fill="47626F"/>
            <w:hideMark/>
          </w:tcPr>
          <w:p w14:paraId="6A7D27AB" w14:textId="77777777" w:rsidR="00031696" w:rsidRPr="00031696" w:rsidRDefault="00031696" w:rsidP="007236E0">
            <w:pPr>
              <w:spacing w:before="40" w:after="40"/>
              <w:rPr>
                <w:rFonts w:ascii="Kohinoor Devanagari" w:hAnsi="Kohinoor Devanagari" w:cs="Kohinoor Devanagari"/>
                <w:b/>
                <w:bCs/>
                <w:color w:val="FFFFFF" w:themeColor="background1"/>
                <w:sz w:val="20"/>
                <w:szCs w:val="20"/>
              </w:rPr>
            </w:pPr>
            <w:r w:rsidRPr="00031696">
              <w:rPr>
                <w:rFonts w:ascii="Kohinoor Devanagari" w:hAnsi="Kohinoor Devanagari" w:cs="Kohinoor Devanagari"/>
                <w:b/>
                <w:bCs/>
                <w:color w:val="FFFFFF" w:themeColor="background1"/>
                <w:sz w:val="20"/>
                <w:szCs w:val="20"/>
              </w:rPr>
              <w:t>N°</w:t>
            </w:r>
          </w:p>
        </w:tc>
        <w:tc>
          <w:tcPr>
            <w:tcW w:w="0" w:type="auto"/>
            <w:shd w:val="clear" w:color="auto" w:fill="47626F"/>
            <w:hideMark/>
          </w:tcPr>
          <w:p w14:paraId="5E67BEA9" w14:textId="77777777" w:rsidR="00031696" w:rsidRPr="00031696" w:rsidRDefault="00031696" w:rsidP="007236E0">
            <w:pPr>
              <w:spacing w:before="40" w:after="40"/>
              <w:rPr>
                <w:rFonts w:ascii="Kohinoor Devanagari" w:hAnsi="Kohinoor Devanagari" w:cs="Kohinoor Devanagari"/>
                <w:b/>
                <w:bCs/>
                <w:color w:val="FFFFFF" w:themeColor="background1"/>
                <w:sz w:val="20"/>
                <w:szCs w:val="20"/>
              </w:rPr>
            </w:pPr>
            <w:r w:rsidRPr="00031696">
              <w:rPr>
                <w:rFonts w:ascii="Kohinoor Devanagari" w:hAnsi="Kohinoor Devanagari" w:cs="Kohinoor Devanagari"/>
                <w:b/>
                <w:bCs/>
                <w:color w:val="FFFFFF" w:themeColor="background1"/>
                <w:sz w:val="20"/>
                <w:szCs w:val="20"/>
              </w:rPr>
              <w:t>Besoins prioritaires</w:t>
            </w:r>
          </w:p>
        </w:tc>
        <w:tc>
          <w:tcPr>
            <w:tcW w:w="0" w:type="auto"/>
            <w:shd w:val="clear" w:color="auto" w:fill="47626F"/>
            <w:hideMark/>
          </w:tcPr>
          <w:p w14:paraId="4D0A36AE" w14:textId="77777777" w:rsidR="00031696" w:rsidRPr="00031696" w:rsidRDefault="00031696" w:rsidP="007236E0">
            <w:pPr>
              <w:spacing w:before="40" w:after="40"/>
              <w:rPr>
                <w:rFonts w:ascii="Kohinoor Devanagari" w:hAnsi="Kohinoor Devanagari" w:cs="Kohinoor Devanagari"/>
                <w:b/>
                <w:bCs/>
                <w:color w:val="FFFFFF" w:themeColor="background1"/>
                <w:sz w:val="20"/>
                <w:szCs w:val="20"/>
              </w:rPr>
            </w:pPr>
            <w:r w:rsidRPr="00031696">
              <w:rPr>
                <w:rFonts w:ascii="Kohinoor Devanagari" w:hAnsi="Kohinoor Devanagari" w:cs="Kohinoor Devanagari"/>
                <w:b/>
                <w:bCs/>
                <w:color w:val="FFFFFF" w:themeColor="background1"/>
                <w:sz w:val="20"/>
                <w:szCs w:val="20"/>
              </w:rPr>
              <w:t>Description</w:t>
            </w:r>
          </w:p>
        </w:tc>
        <w:tc>
          <w:tcPr>
            <w:tcW w:w="0" w:type="auto"/>
            <w:shd w:val="clear" w:color="auto" w:fill="47626F"/>
            <w:hideMark/>
          </w:tcPr>
          <w:p w14:paraId="1BE09086" w14:textId="77777777" w:rsidR="00031696" w:rsidRPr="00031696" w:rsidRDefault="00031696" w:rsidP="007236E0">
            <w:pPr>
              <w:spacing w:before="40" w:after="40"/>
              <w:rPr>
                <w:rFonts w:ascii="Kohinoor Devanagari" w:hAnsi="Kohinoor Devanagari" w:cs="Kohinoor Devanagari"/>
                <w:b/>
                <w:bCs/>
                <w:color w:val="FFFFFF" w:themeColor="background1"/>
                <w:sz w:val="20"/>
                <w:szCs w:val="20"/>
              </w:rPr>
            </w:pPr>
            <w:r w:rsidRPr="00031696">
              <w:rPr>
                <w:rFonts w:ascii="Kohinoor Devanagari" w:hAnsi="Kohinoor Devanagari" w:cs="Kohinoor Devanagari"/>
                <w:b/>
                <w:bCs/>
                <w:color w:val="FFFFFF" w:themeColor="background1"/>
                <w:sz w:val="20"/>
                <w:szCs w:val="20"/>
              </w:rPr>
              <w:t>Estimation indicative</w:t>
            </w:r>
          </w:p>
        </w:tc>
      </w:tr>
      <w:tr w:rsidR="00031696" w:rsidRPr="00031696" w14:paraId="76B0418C" w14:textId="77777777" w:rsidTr="00A400BC">
        <w:tc>
          <w:tcPr>
            <w:tcW w:w="0" w:type="auto"/>
            <w:hideMark/>
          </w:tcPr>
          <w:p w14:paraId="71918519"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(i)</w:t>
            </w:r>
          </w:p>
        </w:tc>
        <w:tc>
          <w:tcPr>
            <w:tcW w:w="0" w:type="auto"/>
            <w:hideMark/>
          </w:tcPr>
          <w:p w14:paraId="76ABF9A7"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Cahier des charges technique global</w:t>
            </w:r>
          </w:p>
        </w:tc>
        <w:tc>
          <w:tcPr>
            <w:tcW w:w="0" w:type="auto"/>
            <w:hideMark/>
          </w:tcPr>
          <w:p w14:paraId="3E957953" w14:textId="17DBFABE"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Spécification de l’architecture cible, des modules à développer (extracteur, télédéclaration, entrepôt de données)</w:t>
            </w:r>
            <w:r w:rsidR="00670585">
              <w:rPr>
                <w:rFonts w:ascii="Kohinoor Devanagari" w:hAnsi="Kohinoor Devanagari" w:cs="Kohinoor Devanagari"/>
                <w:sz w:val="20"/>
                <w:szCs w:val="20"/>
                <w:shd w:val="clear" w:color="auto" w:fill="FFFFFF"/>
              </w:rPr>
              <w:t>, Canevas de données</w:t>
            </w:r>
          </w:p>
        </w:tc>
        <w:tc>
          <w:tcPr>
            <w:tcW w:w="0" w:type="auto"/>
            <w:hideMark/>
          </w:tcPr>
          <w:p w14:paraId="075C3029" w14:textId="66F62B30" w:rsidR="00031696" w:rsidRPr="00031696" w:rsidRDefault="003D1EE5" w:rsidP="007236E0">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75</w:t>
            </w:r>
            <w:r w:rsidR="00031696" w:rsidRPr="00031696">
              <w:rPr>
                <w:rFonts w:ascii="Kohinoor Devanagari" w:hAnsi="Kohinoor Devanagari" w:cs="Kohinoor Devanagari"/>
                <w:sz w:val="20"/>
                <w:szCs w:val="20"/>
                <w:shd w:val="clear" w:color="auto" w:fill="FFFFFF"/>
              </w:rPr>
              <w:t xml:space="preserve"> millions FCFA</w:t>
            </w:r>
          </w:p>
        </w:tc>
      </w:tr>
      <w:tr w:rsidR="00031696" w:rsidRPr="00031696" w14:paraId="4A3940AC" w14:textId="77777777" w:rsidTr="00A400BC">
        <w:tc>
          <w:tcPr>
            <w:tcW w:w="0" w:type="auto"/>
            <w:hideMark/>
          </w:tcPr>
          <w:p w14:paraId="62CFA1F3"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(ii)</w:t>
            </w:r>
          </w:p>
        </w:tc>
        <w:tc>
          <w:tcPr>
            <w:tcW w:w="0" w:type="auto"/>
            <w:hideMark/>
          </w:tcPr>
          <w:p w14:paraId="5284DE7D"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Module extracteur de données PATRIMONIE</w:t>
            </w:r>
          </w:p>
        </w:tc>
        <w:tc>
          <w:tcPr>
            <w:tcW w:w="0" w:type="auto"/>
            <w:hideMark/>
          </w:tcPr>
          <w:p w14:paraId="4E583AE0"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Développement d’un outil automatisé d’extraction, d’agrégation et de désagrégation des recettes, transferts, affectations spécifiques, et dépenses quasi budgétaires, avec filtres par entreprise, projet, collectivité.</w:t>
            </w:r>
          </w:p>
        </w:tc>
        <w:tc>
          <w:tcPr>
            <w:tcW w:w="0" w:type="auto"/>
            <w:hideMark/>
          </w:tcPr>
          <w:p w14:paraId="29D77892" w14:textId="516B32E9" w:rsidR="00031696" w:rsidRPr="00031696" w:rsidRDefault="003D1EE5" w:rsidP="007236E0">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100</w:t>
            </w:r>
            <w:r w:rsidR="00031696" w:rsidRPr="00031696">
              <w:rPr>
                <w:rFonts w:ascii="Kohinoor Devanagari" w:hAnsi="Kohinoor Devanagari" w:cs="Kohinoor Devanagari"/>
                <w:sz w:val="20"/>
                <w:szCs w:val="20"/>
                <w:shd w:val="clear" w:color="auto" w:fill="FFFFFF"/>
              </w:rPr>
              <w:t xml:space="preserve"> millions FCFA</w:t>
            </w:r>
          </w:p>
        </w:tc>
      </w:tr>
      <w:tr w:rsidR="00031696" w:rsidRPr="00031696" w14:paraId="6A2A48E9" w14:textId="77777777" w:rsidTr="00A400BC">
        <w:tc>
          <w:tcPr>
            <w:tcW w:w="0" w:type="auto"/>
            <w:hideMark/>
          </w:tcPr>
          <w:p w14:paraId="1172D2D7"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(iii)</w:t>
            </w:r>
          </w:p>
        </w:tc>
        <w:tc>
          <w:tcPr>
            <w:tcW w:w="0" w:type="auto"/>
            <w:hideMark/>
          </w:tcPr>
          <w:p w14:paraId="7D0F3919"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Outil de télédéclaration</w:t>
            </w:r>
          </w:p>
        </w:tc>
        <w:tc>
          <w:tcPr>
            <w:tcW w:w="0" w:type="auto"/>
            <w:hideMark/>
          </w:tcPr>
          <w:p w14:paraId="4C0E80B9" w14:textId="4ADB6BCD"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Plateforme dédiée aux entités non connectées (</w:t>
            </w:r>
            <w:r w:rsidR="00BF19CB">
              <w:rPr>
                <w:rFonts w:ascii="Kohinoor Devanagari" w:hAnsi="Kohinoor Devanagari" w:cs="Kohinoor Devanagari"/>
                <w:sz w:val="20"/>
                <w:szCs w:val="20"/>
                <w:shd w:val="clear" w:color="auto" w:fill="FFFFFF"/>
              </w:rPr>
              <w:t>Entreprises</w:t>
            </w:r>
            <w:r w:rsidRPr="00031696">
              <w:rPr>
                <w:rFonts w:ascii="Kohinoor Devanagari" w:hAnsi="Kohinoor Devanagari" w:cs="Kohinoor Devanagari"/>
                <w:sz w:val="20"/>
                <w:szCs w:val="20"/>
                <w:shd w:val="clear" w:color="auto" w:fill="FFFFFF"/>
              </w:rPr>
              <w:t xml:space="preserve">, collectivités, </w:t>
            </w:r>
            <w:r w:rsidR="00BF19CB">
              <w:rPr>
                <w:rFonts w:ascii="Kohinoor Devanagari" w:hAnsi="Kohinoor Devanagari" w:cs="Kohinoor Devanagari"/>
                <w:sz w:val="20"/>
                <w:szCs w:val="20"/>
                <w:shd w:val="clear" w:color="auto" w:fill="FFFFFF"/>
              </w:rPr>
              <w:t>CNPS</w:t>
            </w:r>
            <w:r w:rsidRPr="00031696">
              <w:rPr>
                <w:rFonts w:ascii="Kohinoor Devanagari" w:hAnsi="Kohinoor Devanagari" w:cs="Kohinoor Devanagari"/>
                <w:sz w:val="20"/>
                <w:szCs w:val="20"/>
                <w:shd w:val="clear" w:color="auto" w:fill="FFFFFF"/>
              </w:rPr>
              <w:t xml:space="preserve">), avec validation des données, </w:t>
            </w:r>
            <w:proofErr w:type="spellStart"/>
            <w:r w:rsidRPr="00031696">
              <w:rPr>
                <w:rFonts w:ascii="Kohinoor Devanagari" w:hAnsi="Kohinoor Devanagari" w:cs="Kohinoor Devanagari"/>
                <w:sz w:val="20"/>
                <w:szCs w:val="20"/>
                <w:shd w:val="clear" w:color="auto" w:fill="FFFFFF"/>
              </w:rPr>
              <w:t>interfaçable</w:t>
            </w:r>
            <w:proofErr w:type="spellEnd"/>
            <w:r w:rsidRPr="00031696">
              <w:rPr>
                <w:rFonts w:ascii="Kohinoor Devanagari" w:hAnsi="Kohinoor Devanagari" w:cs="Kohinoor Devanagari"/>
                <w:sz w:val="20"/>
                <w:szCs w:val="20"/>
                <w:shd w:val="clear" w:color="auto" w:fill="FFFFFF"/>
              </w:rPr>
              <w:t xml:space="preserve"> avec l’entrepôt central.</w:t>
            </w:r>
          </w:p>
        </w:tc>
        <w:tc>
          <w:tcPr>
            <w:tcW w:w="0" w:type="auto"/>
            <w:hideMark/>
          </w:tcPr>
          <w:p w14:paraId="636D10CC"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À chiffrer selon périmètre</w:t>
            </w:r>
          </w:p>
        </w:tc>
      </w:tr>
      <w:tr w:rsidR="00031696" w:rsidRPr="00031696" w14:paraId="664DF3B7" w14:textId="77777777" w:rsidTr="00A400BC">
        <w:tc>
          <w:tcPr>
            <w:tcW w:w="0" w:type="auto"/>
            <w:hideMark/>
          </w:tcPr>
          <w:p w14:paraId="733BF493"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(iv)</w:t>
            </w:r>
          </w:p>
        </w:tc>
        <w:tc>
          <w:tcPr>
            <w:tcW w:w="0" w:type="auto"/>
            <w:hideMark/>
          </w:tcPr>
          <w:p w14:paraId="5E2294C0"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Base de données centralisée ITIE</w:t>
            </w:r>
          </w:p>
        </w:tc>
        <w:tc>
          <w:tcPr>
            <w:tcW w:w="0" w:type="auto"/>
            <w:hideMark/>
          </w:tcPr>
          <w:p w14:paraId="6FB17292"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Entrepôt de données consolidant les informations fiscales, financières, contractuelles, sociales et environnementales, interconnecté aux plateformes DGI, DGTCFM, SNH, INS, MINMIDT, etc.</w:t>
            </w:r>
          </w:p>
        </w:tc>
        <w:tc>
          <w:tcPr>
            <w:tcW w:w="0" w:type="auto"/>
            <w:hideMark/>
          </w:tcPr>
          <w:p w14:paraId="05854FAB"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 xml:space="preserve">Moyenne à </w:t>
            </w:r>
            <w:proofErr w:type="spellStart"/>
            <w:r w:rsidRPr="00031696">
              <w:rPr>
                <w:rFonts w:ascii="Kohinoor Devanagari" w:hAnsi="Kohinoor Devanagari" w:cs="Kohinoor Devanagari"/>
                <w:sz w:val="20"/>
                <w:szCs w:val="20"/>
                <w:shd w:val="clear" w:color="auto" w:fill="FFFFFF"/>
              </w:rPr>
              <w:t>élevée</w:t>
            </w:r>
            <w:proofErr w:type="spellEnd"/>
            <w:r w:rsidRPr="00031696">
              <w:rPr>
                <w:rFonts w:ascii="Kohinoor Devanagari" w:hAnsi="Kohinoor Devanagari" w:cs="Kohinoor Devanagari"/>
                <w:sz w:val="20"/>
                <w:szCs w:val="20"/>
                <w:shd w:val="clear" w:color="auto" w:fill="FFFFFF"/>
              </w:rPr>
              <w:t xml:space="preserve"> (selon automatisation)</w:t>
            </w:r>
          </w:p>
        </w:tc>
      </w:tr>
      <w:tr w:rsidR="00031696" w:rsidRPr="00031696" w14:paraId="70C49039" w14:textId="77777777" w:rsidTr="00A400BC">
        <w:tc>
          <w:tcPr>
            <w:tcW w:w="0" w:type="auto"/>
            <w:hideMark/>
          </w:tcPr>
          <w:p w14:paraId="578B8DD8"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(v)</w:t>
            </w:r>
          </w:p>
        </w:tc>
        <w:tc>
          <w:tcPr>
            <w:tcW w:w="0" w:type="auto"/>
            <w:hideMark/>
          </w:tcPr>
          <w:p w14:paraId="1FCD738F"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Interfaces d’interconnexion</w:t>
            </w:r>
          </w:p>
        </w:tc>
        <w:tc>
          <w:tcPr>
            <w:tcW w:w="0" w:type="auto"/>
            <w:hideMark/>
          </w:tcPr>
          <w:p w14:paraId="27D6F17E" w14:textId="49D45DFE"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Développement d’API ou d’ETL pour relier les systèmes (PATRIMONIE, CAMSIS, HARMONIES, cadastre minier, RCCM, portail BE, Open Data INS</w:t>
            </w:r>
            <w:r w:rsidR="00BF19CB">
              <w:rPr>
                <w:rFonts w:ascii="Kohinoor Devanagari" w:hAnsi="Kohinoor Devanagari" w:cs="Kohinoor Devanagari"/>
                <w:sz w:val="20"/>
                <w:szCs w:val="20"/>
                <w:shd w:val="clear" w:color="auto" w:fill="FFFFFF"/>
              </w:rPr>
              <w:t>…</w:t>
            </w:r>
            <w:r w:rsidRPr="00031696">
              <w:rPr>
                <w:rFonts w:ascii="Kohinoor Devanagari" w:hAnsi="Kohinoor Devanagari" w:cs="Kohinoor Devanagari"/>
                <w:sz w:val="20"/>
                <w:szCs w:val="20"/>
                <w:shd w:val="clear" w:color="auto" w:fill="FFFFFF"/>
              </w:rPr>
              <w:t>).</w:t>
            </w:r>
          </w:p>
        </w:tc>
        <w:tc>
          <w:tcPr>
            <w:tcW w:w="0" w:type="auto"/>
            <w:hideMark/>
          </w:tcPr>
          <w:p w14:paraId="7BFB3F9E"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À chiffrer selon le nombre de systèmes</w:t>
            </w:r>
          </w:p>
        </w:tc>
      </w:tr>
      <w:tr w:rsidR="00031696" w:rsidRPr="00031696" w14:paraId="26C19BFC" w14:textId="77777777" w:rsidTr="00A400BC">
        <w:tc>
          <w:tcPr>
            <w:tcW w:w="0" w:type="auto"/>
            <w:hideMark/>
          </w:tcPr>
          <w:p w14:paraId="3FDDD66A"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(vi)</w:t>
            </w:r>
          </w:p>
        </w:tc>
        <w:tc>
          <w:tcPr>
            <w:tcW w:w="0" w:type="auto"/>
            <w:hideMark/>
          </w:tcPr>
          <w:p w14:paraId="3C777627"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Guide technique et protocoles d’échange</w:t>
            </w:r>
          </w:p>
        </w:tc>
        <w:tc>
          <w:tcPr>
            <w:tcW w:w="0" w:type="auto"/>
            <w:hideMark/>
          </w:tcPr>
          <w:p w14:paraId="4DFC813F"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Élaboration de standards techniques (formats, nomenclatures, métadonnées, règles de contrôle), pour garantir l’uniformité, la traçabilité et la qualité des données publiées.</w:t>
            </w:r>
          </w:p>
        </w:tc>
        <w:tc>
          <w:tcPr>
            <w:tcW w:w="0" w:type="auto"/>
            <w:hideMark/>
          </w:tcPr>
          <w:p w14:paraId="6AF727E0"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Inclus dans assistance technique</w:t>
            </w:r>
          </w:p>
        </w:tc>
      </w:tr>
      <w:tr w:rsidR="00031696" w:rsidRPr="00031696" w14:paraId="1C9568F7" w14:textId="77777777" w:rsidTr="00A400BC">
        <w:tc>
          <w:tcPr>
            <w:tcW w:w="0" w:type="auto"/>
            <w:hideMark/>
          </w:tcPr>
          <w:p w14:paraId="6C89E3B1"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(vii)</w:t>
            </w:r>
          </w:p>
        </w:tc>
        <w:tc>
          <w:tcPr>
            <w:tcW w:w="0" w:type="auto"/>
            <w:hideMark/>
          </w:tcPr>
          <w:p w14:paraId="00F0F2A5"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b/>
                <w:bCs/>
                <w:sz w:val="20"/>
                <w:szCs w:val="20"/>
                <w:shd w:val="clear" w:color="auto" w:fill="FFFFFF"/>
              </w:rPr>
              <w:t>Renforcement des capacités</w:t>
            </w:r>
          </w:p>
        </w:tc>
        <w:tc>
          <w:tcPr>
            <w:tcW w:w="0" w:type="auto"/>
            <w:hideMark/>
          </w:tcPr>
          <w:p w14:paraId="36994270"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Formations ciblées des administrations, entreprises publiques et privées, collectivités et OSC, sur les outils, la saisie, la validation et l’exploitation des données publiées.</w:t>
            </w:r>
          </w:p>
        </w:tc>
        <w:tc>
          <w:tcPr>
            <w:tcW w:w="0" w:type="auto"/>
            <w:hideMark/>
          </w:tcPr>
          <w:p w14:paraId="309699C2" w14:textId="77777777" w:rsidR="00031696" w:rsidRPr="00031696" w:rsidRDefault="00031696" w:rsidP="007236E0">
            <w:pPr>
              <w:spacing w:before="40" w:after="40"/>
              <w:jc w:val="both"/>
              <w:rPr>
                <w:rFonts w:ascii="Kohinoor Devanagari" w:hAnsi="Kohinoor Devanagari" w:cs="Kohinoor Devanagari"/>
                <w:sz w:val="20"/>
                <w:szCs w:val="20"/>
                <w:shd w:val="clear" w:color="auto" w:fill="FFFFFF"/>
              </w:rPr>
            </w:pPr>
            <w:r w:rsidRPr="00031696">
              <w:rPr>
                <w:rFonts w:ascii="Kohinoor Devanagari" w:hAnsi="Kohinoor Devanagari" w:cs="Kohinoor Devanagari"/>
                <w:sz w:val="20"/>
                <w:szCs w:val="20"/>
                <w:shd w:val="clear" w:color="auto" w:fill="FFFFFF"/>
              </w:rPr>
              <w:t>À planifier dans le PTA</w:t>
            </w:r>
          </w:p>
        </w:tc>
      </w:tr>
    </w:tbl>
    <w:p w14:paraId="4AEAE8BE" w14:textId="3E422D46" w:rsidR="00D912A6" w:rsidRPr="00D912A6" w:rsidRDefault="00D912A6"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7" w:name="_Toc204691634"/>
      <w:r w:rsidRPr="00D912A6">
        <w:rPr>
          <w:rFonts w:ascii="Kohinoor Devanagari" w:eastAsia="Times New Roman" w:hAnsi="Kohinoor Devanagari" w:cs="Kohinoor Devanagari"/>
          <w:b/>
          <w:bCs/>
          <w:color w:val="000000" w:themeColor="text1"/>
          <w:sz w:val="20"/>
          <w:szCs w:val="20"/>
          <w:lang w:eastAsia="fr-FR"/>
        </w:rPr>
        <w:lastRenderedPageBreak/>
        <w:t>Suivi, évaluation et indicateurs de performance</w:t>
      </w:r>
      <w:bookmarkEnd w:id="47"/>
    </w:p>
    <w:p w14:paraId="30EF9DDC" w14:textId="4ECA2647" w:rsidR="00D912A6" w:rsidRPr="00D912A6" w:rsidRDefault="00D912A6" w:rsidP="00D912A6">
      <w:p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Afin d'assurer une mise en œuvre efficace et mesurable de la stratégie, un dispositif de suivi et d’évaluation devra être mis en place. Ce dispositif permettra d’apprécier les progrès accomplis, d’identifier les obstacles, et d’ajuster les priorités en fonction des réalités institutionnelles et techniques.</w:t>
      </w:r>
    </w:p>
    <w:p w14:paraId="7387DCC8" w14:textId="77777777" w:rsidR="00D912A6" w:rsidRPr="00D912A6" w:rsidRDefault="00D912A6" w:rsidP="00D912A6">
      <w:p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b/>
          <w:bCs/>
          <w:sz w:val="20"/>
          <w:szCs w:val="20"/>
          <w:shd w:val="clear" w:color="auto" w:fill="FFFFFF"/>
        </w:rPr>
        <w:t>Les axes du dispositif de suivi pourraient inclure :</w:t>
      </w:r>
    </w:p>
    <w:p w14:paraId="3E2DD905" w14:textId="77777777" w:rsidR="00D912A6" w:rsidRPr="00D912A6" w:rsidRDefault="00D912A6" w:rsidP="001059BE">
      <w:pPr>
        <w:numPr>
          <w:ilvl w:val="0"/>
          <w:numId w:val="159"/>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L’élaboration d’un tableau de bord de suivi, mis à jour semestriellement, avec des indicateurs par phase (connectivité, interopérabilité, actualisation des données, réutilisation, etc.) ;</w:t>
      </w:r>
    </w:p>
    <w:p w14:paraId="7FEB7219" w14:textId="63D35997" w:rsidR="00D912A6" w:rsidRPr="00D912A6" w:rsidRDefault="00D912A6" w:rsidP="001059BE">
      <w:pPr>
        <w:numPr>
          <w:ilvl w:val="0"/>
          <w:numId w:val="159"/>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 xml:space="preserve">L’organisation de revues annuelles impliquant les parties prenantes clés (Comité ITIE, DGTCFM, SNH, SONAMINES, collectivités, </w:t>
      </w:r>
      <w:proofErr w:type="gramStart"/>
      <w:r w:rsidRPr="00D912A6">
        <w:rPr>
          <w:rFonts w:ascii="Kohinoor Devanagari" w:hAnsi="Kohinoor Devanagari" w:cs="Kohinoor Devanagari"/>
          <w:sz w:val="20"/>
          <w:szCs w:val="20"/>
          <w:shd w:val="clear" w:color="auto" w:fill="FFFFFF"/>
        </w:rPr>
        <w:t>OSC</w:t>
      </w:r>
      <w:r w:rsidR="0063483C">
        <w:rPr>
          <w:rFonts w:ascii="Kohinoor Devanagari" w:hAnsi="Kohinoor Devanagari" w:cs="Kohinoor Devanagari"/>
          <w:sz w:val="20"/>
          <w:szCs w:val="20"/>
          <w:shd w:val="clear" w:color="auto" w:fill="FFFFFF"/>
        </w:rPr>
        <w:t>..</w:t>
      </w:r>
      <w:proofErr w:type="gramEnd"/>
      <w:r w:rsidRPr="00D912A6">
        <w:rPr>
          <w:rFonts w:ascii="Kohinoor Devanagari" w:hAnsi="Kohinoor Devanagari" w:cs="Kohinoor Devanagari"/>
          <w:sz w:val="20"/>
          <w:szCs w:val="20"/>
          <w:shd w:val="clear" w:color="auto" w:fill="FFFFFF"/>
        </w:rPr>
        <w:t>) ;</w:t>
      </w:r>
    </w:p>
    <w:p w14:paraId="06852EC2" w14:textId="77777777" w:rsidR="00D912A6" w:rsidRPr="00D912A6" w:rsidRDefault="00D912A6" w:rsidP="001059BE">
      <w:pPr>
        <w:numPr>
          <w:ilvl w:val="0"/>
          <w:numId w:val="159"/>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L’utilisation d’indicateurs de performance tels que :</w:t>
      </w:r>
    </w:p>
    <w:p w14:paraId="3E5F7DC0" w14:textId="77777777" w:rsidR="00D912A6" w:rsidRPr="00D912A6" w:rsidRDefault="00D912A6" w:rsidP="001059BE">
      <w:pPr>
        <w:numPr>
          <w:ilvl w:val="1"/>
          <w:numId w:val="160"/>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 de données extractives disponibles en format ouvert ;</w:t>
      </w:r>
    </w:p>
    <w:p w14:paraId="70680E35" w14:textId="77777777" w:rsidR="00D912A6" w:rsidRPr="00D912A6" w:rsidRDefault="00D912A6" w:rsidP="001059BE">
      <w:pPr>
        <w:numPr>
          <w:ilvl w:val="1"/>
          <w:numId w:val="160"/>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 de flux budgétaires extractifs retraçables dans PATRIMONIE ;</w:t>
      </w:r>
    </w:p>
    <w:p w14:paraId="62F5F0D3" w14:textId="77777777" w:rsidR="00D912A6" w:rsidRPr="00D912A6" w:rsidRDefault="00D912A6" w:rsidP="001059BE">
      <w:pPr>
        <w:numPr>
          <w:ilvl w:val="1"/>
          <w:numId w:val="160"/>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Nombre de plateformes interconnectées ;</w:t>
      </w:r>
    </w:p>
    <w:p w14:paraId="1024CC4F" w14:textId="77777777" w:rsidR="00D912A6" w:rsidRPr="00D912A6" w:rsidRDefault="00D912A6" w:rsidP="001059BE">
      <w:pPr>
        <w:numPr>
          <w:ilvl w:val="1"/>
          <w:numId w:val="160"/>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Nombre d’utilisateurs ou de téléchargements sur les portails publics ;</w:t>
      </w:r>
    </w:p>
    <w:p w14:paraId="6EBEBDA0" w14:textId="77777777" w:rsidR="00D912A6" w:rsidRPr="00D912A6" w:rsidRDefault="00D912A6" w:rsidP="001059BE">
      <w:pPr>
        <w:numPr>
          <w:ilvl w:val="1"/>
          <w:numId w:val="160"/>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Nombre de collectivités ayant accès à leurs données de transferts extractifs ;</w:t>
      </w:r>
    </w:p>
    <w:p w14:paraId="267D958B" w14:textId="77777777" w:rsidR="00D912A6" w:rsidRPr="00D912A6" w:rsidRDefault="00D912A6" w:rsidP="001059BE">
      <w:pPr>
        <w:numPr>
          <w:ilvl w:val="1"/>
          <w:numId w:val="160"/>
        </w:num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sz w:val="20"/>
          <w:szCs w:val="20"/>
          <w:shd w:val="clear" w:color="auto" w:fill="FFFFFF"/>
        </w:rPr>
        <w:t>Nombre d’OSC et de médias ayant utilisé les données dans leurs travaux.</w:t>
      </w:r>
    </w:p>
    <w:p w14:paraId="3ADEB70F" w14:textId="77777777" w:rsidR="00D912A6" w:rsidRPr="00D912A6" w:rsidRDefault="00D912A6" w:rsidP="00D912A6">
      <w:pPr>
        <w:spacing w:before="120" w:after="120" w:line="240" w:lineRule="auto"/>
        <w:jc w:val="both"/>
        <w:rPr>
          <w:rFonts w:ascii="Kohinoor Devanagari" w:hAnsi="Kohinoor Devanagari" w:cs="Kohinoor Devanagari"/>
          <w:sz w:val="20"/>
          <w:szCs w:val="20"/>
          <w:shd w:val="clear" w:color="auto" w:fill="FFFFFF"/>
        </w:rPr>
      </w:pPr>
      <w:r w:rsidRPr="00D912A6">
        <w:rPr>
          <w:rFonts w:ascii="Kohinoor Devanagari" w:hAnsi="Kohinoor Devanagari" w:cs="Kohinoor Devanagari"/>
          <w:b/>
          <w:bCs/>
          <w:sz w:val="20"/>
          <w:szCs w:val="20"/>
          <w:shd w:val="clear" w:color="auto" w:fill="FFFFFF"/>
        </w:rPr>
        <w:t>Ce dispositif permettra de mesurer l’impact réel de la stratégie sur la gouvernance, la transparence budgétaire et la redevabilité locale.</w:t>
      </w:r>
    </w:p>
    <w:p w14:paraId="7EEA47BC" w14:textId="1E19F158" w:rsidR="001F06A2" w:rsidRPr="001F06A2" w:rsidRDefault="001F06A2" w:rsidP="001059BE">
      <w:pPr>
        <w:pStyle w:val="Titre2"/>
        <w:numPr>
          <w:ilvl w:val="1"/>
          <w:numId w:val="9"/>
        </w:numPr>
        <w:spacing w:before="120" w:after="120" w:line="240" w:lineRule="auto"/>
        <w:ind w:left="567" w:hanging="567"/>
        <w:rPr>
          <w:rFonts w:ascii="Kohinoor Devanagari" w:eastAsia="Times New Roman" w:hAnsi="Kohinoor Devanagari" w:cs="Kohinoor Devanagari"/>
          <w:b/>
          <w:bCs/>
          <w:color w:val="000000" w:themeColor="text1"/>
          <w:sz w:val="20"/>
          <w:szCs w:val="20"/>
          <w:lang w:eastAsia="fr-FR"/>
        </w:rPr>
      </w:pPr>
      <w:bookmarkStart w:id="48" w:name="_Toc204691635"/>
      <w:r w:rsidRPr="001F06A2">
        <w:rPr>
          <w:rFonts w:ascii="Kohinoor Devanagari" w:eastAsia="Times New Roman" w:hAnsi="Kohinoor Devanagari" w:cs="Kohinoor Devanagari"/>
          <w:b/>
          <w:bCs/>
          <w:color w:val="000000" w:themeColor="text1"/>
          <w:sz w:val="20"/>
          <w:szCs w:val="20"/>
          <w:lang w:eastAsia="fr-FR"/>
        </w:rPr>
        <w:t>Calendrier de mise en œuvre et points de vigilance</w:t>
      </w:r>
      <w:bookmarkEnd w:id="48"/>
    </w:p>
    <w:p w14:paraId="1F399FDA" w14:textId="06C4B682" w:rsidR="00E2284B" w:rsidRPr="005450AC" w:rsidRDefault="00E2284B" w:rsidP="001059BE">
      <w:pPr>
        <w:pStyle w:val="Paragraphedeliste"/>
        <w:numPr>
          <w:ilvl w:val="0"/>
          <w:numId w:val="162"/>
        </w:numPr>
        <w:spacing w:before="120" w:after="120" w:line="240" w:lineRule="auto"/>
        <w:jc w:val="both"/>
        <w:rPr>
          <w:rFonts w:ascii="Kohinoor Devanagari" w:hAnsi="Kohinoor Devanagari" w:cs="Kohinoor Devanagari"/>
          <w:b/>
          <w:bCs/>
          <w:sz w:val="20"/>
          <w:szCs w:val="20"/>
          <w:shd w:val="clear" w:color="auto" w:fill="FFFFFF"/>
        </w:rPr>
      </w:pPr>
      <w:r w:rsidRPr="005450AC">
        <w:rPr>
          <w:rFonts w:ascii="Kohinoor Devanagari" w:hAnsi="Kohinoor Devanagari" w:cs="Kohinoor Devanagari"/>
          <w:b/>
          <w:bCs/>
          <w:sz w:val="20"/>
          <w:szCs w:val="20"/>
          <w:shd w:val="clear" w:color="auto" w:fill="FFFFFF"/>
        </w:rPr>
        <w:t>Calendrier indicatif de mise en œuvre (2025–2027)</w:t>
      </w:r>
    </w:p>
    <w:p w14:paraId="00B62160" w14:textId="77777777" w:rsidR="00E2284B" w:rsidRPr="00E2284B" w:rsidRDefault="00E2284B" w:rsidP="00E2284B">
      <w:p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 xml:space="preserve">La mise en œuvre de la stratégie de divulgation systématique est structurée en </w:t>
      </w:r>
      <w:r w:rsidRPr="00E2284B">
        <w:rPr>
          <w:rFonts w:ascii="Kohinoor Devanagari" w:hAnsi="Kohinoor Devanagari" w:cs="Kohinoor Devanagari"/>
          <w:b/>
          <w:bCs/>
          <w:sz w:val="20"/>
          <w:szCs w:val="20"/>
          <w:shd w:val="clear" w:color="auto" w:fill="FFFFFF"/>
        </w:rPr>
        <w:t>trois phases progressives</w:t>
      </w:r>
      <w:r w:rsidRPr="00E2284B">
        <w:rPr>
          <w:rFonts w:ascii="Kohinoor Devanagari" w:hAnsi="Kohinoor Devanagari" w:cs="Kohinoor Devanagari"/>
          <w:sz w:val="20"/>
          <w:szCs w:val="20"/>
          <w:shd w:val="clear" w:color="auto" w:fill="FFFFFF"/>
        </w:rPr>
        <w:t>, alignées sur les besoins techniques identifiés :</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3304"/>
        <w:gridCol w:w="1143"/>
        <w:gridCol w:w="4891"/>
      </w:tblGrid>
      <w:tr w:rsidR="005450AC" w:rsidRPr="00BF788D" w14:paraId="1C17AEE3" w14:textId="77777777" w:rsidTr="0093383F">
        <w:trPr>
          <w:tblHeader/>
        </w:trPr>
        <w:tc>
          <w:tcPr>
            <w:tcW w:w="0" w:type="auto"/>
            <w:shd w:val="clear" w:color="auto" w:fill="47626F"/>
            <w:hideMark/>
          </w:tcPr>
          <w:p w14:paraId="662B15AC" w14:textId="77777777" w:rsidR="005450AC" w:rsidRPr="00E2284B" w:rsidRDefault="005450AC" w:rsidP="00BF788D">
            <w:pPr>
              <w:spacing w:before="40" w:after="40"/>
              <w:rPr>
                <w:rFonts w:ascii="Kohinoor Devanagari" w:hAnsi="Kohinoor Devanagari" w:cs="Kohinoor Devanagari"/>
                <w:b/>
                <w:bCs/>
                <w:color w:val="FFFFFF" w:themeColor="background1"/>
                <w:sz w:val="20"/>
                <w:szCs w:val="20"/>
              </w:rPr>
            </w:pPr>
            <w:r w:rsidRPr="00E2284B">
              <w:rPr>
                <w:rFonts w:ascii="Kohinoor Devanagari" w:hAnsi="Kohinoor Devanagari" w:cs="Kohinoor Devanagari"/>
                <w:b/>
                <w:bCs/>
                <w:color w:val="FFFFFF" w:themeColor="background1"/>
                <w:sz w:val="20"/>
                <w:szCs w:val="20"/>
              </w:rPr>
              <w:t>Phase</w:t>
            </w:r>
          </w:p>
        </w:tc>
        <w:tc>
          <w:tcPr>
            <w:tcW w:w="0" w:type="auto"/>
            <w:shd w:val="clear" w:color="auto" w:fill="47626F"/>
            <w:hideMark/>
          </w:tcPr>
          <w:p w14:paraId="1DEB515D" w14:textId="77777777" w:rsidR="005450AC" w:rsidRPr="00E2284B" w:rsidRDefault="005450AC" w:rsidP="00BF788D">
            <w:pPr>
              <w:spacing w:before="40" w:after="40"/>
              <w:rPr>
                <w:rFonts w:ascii="Kohinoor Devanagari" w:hAnsi="Kohinoor Devanagari" w:cs="Kohinoor Devanagari"/>
                <w:b/>
                <w:bCs/>
                <w:color w:val="FFFFFF" w:themeColor="background1"/>
                <w:sz w:val="20"/>
                <w:szCs w:val="20"/>
              </w:rPr>
            </w:pPr>
            <w:r w:rsidRPr="00E2284B">
              <w:rPr>
                <w:rFonts w:ascii="Kohinoor Devanagari" w:hAnsi="Kohinoor Devanagari" w:cs="Kohinoor Devanagari"/>
                <w:b/>
                <w:bCs/>
                <w:color w:val="FFFFFF" w:themeColor="background1"/>
                <w:sz w:val="20"/>
                <w:szCs w:val="20"/>
              </w:rPr>
              <w:t>Période</w:t>
            </w:r>
          </w:p>
        </w:tc>
        <w:tc>
          <w:tcPr>
            <w:tcW w:w="0" w:type="auto"/>
            <w:shd w:val="clear" w:color="auto" w:fill="47626F"/>
            <w:hideMark/>
          </w:tcPr>
          <w:p w14:paraId="679D0E9C" w14:textId="77777777" w:rsidR="005450AC" w:rsidRPr="00E2284B" w:rsidRDefault="005450AC" w:rsidP="00BF788D">
            <w:pPr>
              <w:spacing w:before="40" w:after="40"/>
              <w:rPr>
                <w:rFonts w:ascii="Kohinoor Devanagari" w:hAnsi="Kohinoor Devanagari" w:cs="Kohinoor Devanagari"/>
                <w:b/>
                <w:bCs/>
                <w:color w:val="FFFFFF" w:themeColor="background1"/>
                <w:sz w:val="20"/>
                <w:szCs w:val="20"/>
              </w:rPr>
            </w:pPr>
            <w:r w:rsidRPr="00E2284B">
              <w:rPr>
                <w:rFonts w:ascii="Kohinoor Devanagari" w:hAnsi="Kohinoor Devanagari" w:cs="Kohinoor Devanagari"/>
                <w:b/>
                <w:bCs/>
                <w:color w:val="FFFFFF" w:themeColor="background1"/>
                <w:sz w:val="20"/>
                <w:szCs w:val="20"/>
              </w:rPr>
              <w:t>Composantes clés</w:t>
            </w:r>
          </w:p>
        </w:tc>
      </w:tr>
      <w:tr w:rsidR="005450AC" w:rsidRPr="00E2284B" w14:paraId="3AFE53AB" w14:textId="77777777" w:rsidTr="005450AC">
        <w:tc>
          <w:tcPr>
            <w:tcW w:w="0" w:type="auto"/>
            <w:hideMark/>
          </w:tcPr>
          <w:p w14:paraId="539D0072" w14:textId="77777777" w:rsidR="005450AC" w:rsidRPr="00E2284B" w:rsidRDefault="005450AC" w:rsidP="00E2284B">
            <w:pPr>
              <w:spacing w:before="120" w:after="120"/>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Phase 1 – Conception et cadrage technique</w:t>
            </w:r>
          </w:p>
        </w:tc>
        <w:tc>
          <w:tcPr>
            <w:tcW w:w="0" w:type="auto"/>
            <w:hideMark/>
          </w:tcPr>
          <w:p w14:paraId="49270847" w14:textId="77777777" w:rsidR="005450AC" w:rsidRPr="00E2284B" w:rsidRDefault="005450AC" w:rsidP="00E2284B">
            <w:pPr>
              <w:spacing w:before="120" w:after="120"/>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T3–T4 2025</w:t>
            </w:r>
          </w:p>
        </w:tc>
        <w:tc>
          <w:tcPr>
            <w:tcW w:w="0" w:type="auto"/>
            <w:hideMark/>
          </w:tcPr>
          <w:p w14:paraId="4525A808" w14:textId="77777777" w:rsidR="00BF788D" w:rsidRDefault="005450AC" w:rsidP="00BF788D">
            <w:pPr>
              <w:spacing w:before="40" w:after="40"/>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 xml:space="preserve">• Élaboration du </w:t>
            </w:r>
            <w:r w:rsidRPr="00E2284B">
              <w:rPr>
                <w:rFonts w:ascii="Kohinoor Devanagari" w:hAnsi="Kohinoor Devanagari" w:cs="Kohinoor Devanagari"/>
                <w:b/>
                <w:bCs/>
                <w:sz w:val="20"/>
                <w:szCs w:val="20"/>
                <w:shd w:val="clear" w:color="auto" w:fill="FFFFFF"/>
              </w:rPr>
              <w:t>cahier des charges technique global</w:t>
            </w:r>
            <w:r w:rsidRPr="00E2284B">
              <w:rPr>
                <w:rFonts w:ascii="Kohinoor Devanagari" w:hAnsi="Kohinoor Devanagari" w:cs="Kohinoor Devanagari"/>
                <w:sz w:val="20"/>
                <w:szCs w:val="20"/>
                <w:shd w:val="clear" w:color="auto" w:fill="FFFFFF"/>
              </w:rPr>
              <w:t xml:space="preserve"> (architecture, canevas, protocoles)</w:t>
            </w:r>
          </w:p>
          <w:p w14:paraId="305EF5B9" w14:textId="77777777" w:rsidR="00BF788D" w:rsidRDefault="005450AC" w:rsidP="00BF788D">
            <w:pPr>
              <w:spacing w:before="40" w:after="40"/>
              <w:rPr>
                <w:rFonts w:ascii="Kohinoor Devanagari" w:hAnsi="Kohinoor Devanagari" w:cs="Kohinoor Devanagari"/>
                <w:b/>
                <w:bCs/>
                <w:sz w:val="20"/>
                <w:szCs w:val="20"/>
                <w:shd w:val="clear" w:color="auto" w:fill="FFFFFF"/>
              </w:rPr>
            </w:pPr>
            <w:r w:rsidRPr="00E2284B">
              <w:rPr>
                <w:rFonts w:ascii="Kohinoor Devanagari" w:hAnsi="Kohinoor Devanagari" w:cs="Kohinoor Devanagari"/>
                <w:sz w:val="20"/>
                <w:szCs w:val="20"/>
                <w:shd w:val="clear" w:color="auto" w:fill="FFFFFF"/>
              </w:rPr>
              <w:t xml:space="preserve">• Lancement du développement du </w:t>
            </w:r>
            <w:r w:rsidRPr="00E2284B">
              <w:rPr>
                <w:rFonts w:ascii="Kohinoor Devanagari" w:hAnsi="Kohinoor Devanagari" w:cs="Kohinoor Devanagari"/>
                <w:b/>
                <w:bCs/>
                <w:sz w:val="20"/>
                <w:szCs w:val="20"/>
                <w:shd w:val="clear" w:color="auto" w:fill="FFFFFF"/>
              </w:rPr>
              <w:t>module extracteur PATRIMONIE</w:t>
            </w:r>
          </w:p>
          <w:p w14:paraId="7C7FEE80" w14:textId="77777777" w:rsidR="00BF788D" w:rsidRDefault="005450AC" w:rsidP="00BF788D">
            <w:pPr>
              <w:spacing w:before="40" w:after="40"/>
              <w:rPr>
                <w:rFonts w:ascii="Kohinoor Devanagari" w:hAnsi="Kohinoor Devanagari" w:cs="Kohinoor Devanagari"/>
                <w:b/>
                <w:bCs/>
                <w:sz w:val="20"/>
                <w:szCs w:val="20"/>
                <w:shd w:val="clear" w:color="auto" w:fill="FFFFFF"/>
              </w:rPr>
            </w:pPr>
            <w:r w:rsidRPr="00E2284B">
              <w:rPr>
                <w:rFonts w:ascii="Kohinoor Devanagari" w:hAnsi="Kohinoor Devanagari" w:cs="Kohinoor Devanagari"/>
                <w:sz w:val="20"/>
                <w:szCs w:val="20"/>
                <w:shd w:val="clear" w:color="auto" w:fill="FFFFFF"/>
              </w:rPr>
              <w:t xml:space="preserve">• Élaboration des </w:t>
            </w:r>
            <w:r w:rsidRPr="00E2284B">
              <w:rPr>
                <w:rFonts w:ascii="Kohinoor Devanagari" w:hAnsi="Kohinoor Devanagari" w:cs="Kohinoor Devanagari"/>
                <w:b/>
                <w:bCs/>
                <w:sz w:val="20"/>
                <w:szCs w:val="20"/>
                <w:shd w:val="clear" w:color="auto" w:fill="FFFFFF"/>
              </w:rPr>
              <w:t>protocoles d’échange de données</w:t>
            </w:r>
          </w:p>
          <w:p w14:paraId="79757716" w14:textId="5C27C365" w:rsidR="005450AC" w:rsidRPr="00E2284B" w:rsidRDefault="005450AC" w:rsidP="00BF788D">
            <w:pPr>
              <w:spacing w:before="40" w:after="40"/>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 xml:space="preserve">• Planification du </w:t>
            </w:r>
            <w:r w:rsidRPr="00E2284B">
              <w:rPr>
                <w:rFonts w:ascii="Kohinoor Devanagari" w:hAnsi="Kohinoor Devanagari" w:cs="Kohinoor Devanagari"/>
                <w:b/>
                <w:bCs/>
                <w:sz w:val="20"/>
                <w:szCs w:val="20"/>
                <w:shd w:val="clear" w:color="auto" w:fill="FFFFFF"/>
              </w:rPr>
              <w:t>renforcement des capacités</w:t>
            </w:r>
          </w:p>
        </w:tc>
      </w:tr>
      <w:tr w:rsidR="005450AC" w:rsidRPr="00E2284B" w14:paraId="679927AF" w14:textId="77777777" w:rsidTr="005450AC">
        <w:tc>
          <w:tcPr>
            <w:tcW w:w="0" w:type="auto"/>
            <w:hideMark/>
          </w:tcPr>
          <w:p w14:paraId="49DCA6E1" w14:textId="77777777" w:rsidR="005450AC" w:rsidRPr="00E2284B" w:rsidRDefault="005450AC" w:rsidP="00E2284B">
            <w:pPr>
              <w:spacing w:before="120" w:after="120"/>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Phase 2 – Déploiement des outils et intégration progressive</w:t>
            </w:r>
          </w:p>
        </w:tc>
        <w:tc>
          <w:tcPr>
            <w:tcW w:w="0" w:type="auto"/>
            <w:hideMark/>
          </w:tcPr>
          <w:p w14:paraId="30FAE4D3" w14:textId="50DCC531" w:rsidR="005450AC" w:rsidRPr="00E2284B" w:rsidRDefault="00BF788D" w:rsidP="00E2284B">
            <w:pPr>
              <w:spacing w:before="120" w:after="12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 xml:space="preserve">T1- T4 </w:t>
            </w:r>
            <w:r w:rsidR="005450AC" w:rsidRPr="00E2284B">
              <w:rPr>
                <w:rFonts w:ascii="Kohinoor Devanagari" w:hAnsi="Kohinoor Devanagari" w:cs="Kohinoor Devanagari"/>
                <w:sz w:val="20"/>
                <w:szCs w:val="20"/>
                <w:shd w:val="clear" w:color="auto" w:fill="FFFFFF"/>
              </w:rPr>
              <w:t>2026</w:t>
            </w:r>
          </w:p>
        </w:tc>
        <w:tc>
          <w:tcPr>
            <w:tcW w:w="0" w:type="auto"/>
            <w:hideMark/>
          </w:tcPr>
          <w:p w14:paraId="7E5D25FD" w14:textId="77777777" w:rsidR="00BF788D" w:rsidRDefault="005450AC" w:rsidP="00BF788D">
            <w:pPr>
              <w:spacing w:before="40" w:after="40"/>
              <w:rPr>
                <w:rFonts w:ascii="Kohinoor Devanagari" w:hAnsi="Kohinoor Devanagari" w:cs="Kohinoor Devanagari"/>
                <w:b/>
                <w:bCs/>
                <w:sz w:val="20"/>
                <w:szCs w:val="20"/>
                <w:shd w:val="clear" w:color="auto" w:fill="FFFFFF"/>
              </w:rPr>
            </w:pPr>
            <w:r w:rsidRPr="00E2284B">
              <w:rPr>
                <w:rFonts w:ascii="Kohinoor Devanagari" w:hAnsi="Kohinoor Devanagari" w:cs="Kohinoor Devanagari"/>
                <w:sz w:val="20"/>
                <w:szCs w:val="20"/>
                <w:shd w:val="clear" w:color="auto" w:fill="FFFFFF"/>
              </w:rPr>
              <w:t>• Développement et test de l’</w:t>
            </w:r>
            <w:r w:rsidRPr="00E2284B">
              <w:rPr>
                <w:rFonts w:ascii="Kohinoor Devanagari" w:hAnsi="Kohinoor Devanagari" w:cs="Kohinoor Devanagari"/>
                <w:b/>
                <w:bCs/>
                <w:sz w:val="20"/>
                <w:szCs w:val="20"/>
                <w:shd w:val="clear" w:color="auto" w:fill="FFFFFF"/>
              </w:rPr>
              <w:t>outil de télédéclaration</w:t>
            </w:r>
          </w:p>
          <w:p w14:paraId="1BB78F2B" w14:textId="77777777" w:rsidR="00BF788D" w:rsidRDefault="005450AC" w:rsidP="00BF788D">
            <w:pPr>
              <w:spacing w:before="40" w:after="40"/>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lastRenderedPageBreak/>
              <w:t xml:space="preserve">• Interconnexion via </w:t>
            </w:r>
            <w:r w:rsidRPr="00E2284B">
              <w:rPr>
                <w:rFonts w:ascii="Kohinoor Devanagari" w:hAnsi="Kohinoor Devanagari" w:cs="Kohinoor Devanagari"/>
                <w:b/>
                <w:bCs/>
                <w:sz w:val="20"/>
                <w:szCs w:val="20"/>
                <w:shd w:val="clear" w:color="auto" w:fill="FFFFFF"/>
              </w:rPr>
              <w:t>API ou ETL</w:t>
            </w:r>
            <w:r w:rsidRPr="00E2284B">
              <w:rPr>
                <w:rFonts w:ascii="Kohinoor Devanagari" w:hAnsi="Kohinoor Devanagari" w:cs="Kohinoor Devanagari"/>
                <w:sz w:val="20"/>
                <w:szCs w:val="20"/>
                <w:shd w:val="clear" w:color="auto" w:fill="FFFFFF"/>
              </w:rPr>
              <w:t xml:space="preserve"> avec les systèmes cibles (PATRIMONIE, DGI, INS, MINMIDT, etc.)</w:t>
            </w:r>
          </w:p>
          <w:p w14:paraId="5912895B" w14:textId="77777777" w:rsidR="00BF788D" w:rsidRDefault="005450AC" w:rsidP="00BF788D">
            <w:pPr>
              <w:spacing w:before="40" w:after="40"/>
              <w:rPr>
                <w:rFonts w:ascii="Kohinoor Devanagari" w:hAnsi="Kohinoor Devanagari" w:cs="Kohinoor Devanagari"/>
                <w:b/>
                <w:bCs/>
                <w:sz w:val="20"/>
                <w:szCs w:val="20"/>
                <w:shd w:val="clear" w:color="auto" w:fill="FFFFFF"/>
              </w:rPr>
            </w:pPr>
            <w:r w:rsidRPr="00E2284B">
              <w:rPr>
                <w:rFonts w:ascii="Kohinoor Devanagari" w:hAnsi="Kohinoor Devanagari" w:cs="Kohinoor Devanagari"/>
                <w:sz w:val="20"/>
                <w:szCs w:val="20"/>
                <w:shd w:val="clear" w:color="auto" w:fill="FFFFFF"/>
              </w:rPr>
              <w:t xml:space="preserve">• Lancement pilote de la </w:t>
            </w:r>
            <w:r w:rsidRPr="00E2284B">
              <w:rPr>
                <w:rFonts w:ascii="Kohinoor Devanagari" w:hAnsi="Kohinoor Devanagari" w:cs="Kohinoor Devanagari"/>
                <w:b/>
                <w:bCs/>
                <w:sz w:val="20"/>
                <w:szCs w:val="20"/>
                <w:shd w:val="clear" w:color="auto" w:fill="FFFFFF"/>
              </w:rPr>
              <w:t>base de données centralisée ITIE</w:t>
            </w:r>
          </w:p>
          <w:p w14:paraId="24293963" w14:textId="448262BB" w:rsidR="005450AC" w:rsidRPr="00E2284B" w:rsidRDefault="005450AC" w:rsidP="00BF788D">
            <w:pPr>
              <w:spacing w:before="40" w:after="40"/>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 Formations initiales des utilisateurs publics et privés</w:t>
            </w:r>
          </w:p>
        </w:tc>
      </w:tr>
      <w:tr w:rsidR="005450AC" w:rsidRPr="00E2284B" w14:paraId="3851165A" w14:textId="77777777" w:rsidTr="005450AC">
        <w:tc>
          <w:tcPr>
            <w:tcW w:w="0" w:type="auto"/>
            <w:hideMark/>
          </w:tcPr>
          <w:p w14:paraId="7994465A" w14:textId="77777777" w:rsidR="005450AC" w:rsidRPr="00E2284B" w:rsidRDefault="005450AC" w:rsidP="00E2284B">
            <w:pPr>
              <w:spacing w:before="120" w:after="120"/>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lastRenderedPageBreak/>
              <w:t>Phase 3 – Publication ouverte et consolidation</w:t>
            </w:r>
          </w:p>
        </w:tc>
        <w:tc>
          <w:tcPr>
            <w:tcW w:w="0" w:type="auto"/>
            <w:hideMark/>
          </w:tcPr>
          <w:p w14:paraId="485BEC79" w14:textId="1DE8D513" w:rsidR="005450AC" w:rsidRPr="00E2284B" w:rsidRDefault="00BF788D" w:rsidP="00E2284B">
            <w:pPr>
              <w:spacing w:before="120" w:after="12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 xml:space="preserve">T1 -T2 </w:t>
            </w:r>
            <w:r w:rsidR="005450AC" w:rsidRPr="00E2284B">
              <w:rPr>
                <w:rFonts w:ascii="Kohinoor Devanagari" w:hAnsi="Kohinoor Devanagari" w:cs="Kohinoor Devanagari"/>
                <w:sz w:val="20"/>
                <w:szCs w:val="20"/>
                <w:shd w:val="clear" w:color="auto" w:fill="FFFFFF"/>
              </w:rPr>
              <w:t>2027</w:t>
            </w:r>
          </w:p>
        </w:tc>
        <w:tc>
          <w:tcPr>
            <w:tcW w:w="0" w:type="auto"/>
            <w:hideMark/>
          </w:tcPr>
          <w:p w14:paraId="56DF76A4" w14:textId="77777777" w:rsidR="00BF788D" w:rsidRDefault="005450AC" w:rsidP="00BF788D">
            <w:pPr>
              <w:spacing w:before="40" w:after="40"/>
              <w:rPr>
                <w:rFonts w:ascii="Kohinoor Devanagari" w:hAnsi="Kohinoor Devanagari" w:cs="Kohinoor Devanagari"/>
                <w:b/>
                <w:bCs/>
                <w:sz w:val="20"/>
                <w:szCs w:val="20"/>
                <w:shd w:val="clear" w:color="auto" w:fill="FFFFFF"/>
              </w:rPr>
            </w:pPr>
            <w:r w:rsidRPr="00E2284B">
              <w:rPr>
                <w:rFonts w:ascii="Kohinoor Devanagari" w:hAnsi="Kohinoor Devanagari" w:cs="Kohinoor Devanagari"/>
                <w:sz w:val="20"/>
                <w:szCs w:val="20"/>
                <w:shd w:val="clear" w:color="auto" w:fill="FFFFFF"/>
              </w:rPr>
              <w:t xml:space="preserve">• Mise en ligne des données via la </w:t>
            </w:r>
            <w:r w:rsidRPr="00E2284B">
              <w:rPr>
                <w:rFonts w:ascii="Kohinoor Devanagari" w:hAnsi="Kohinoor Devanagari" w:cs="Kohinoor Devanagari"/>
                <w:b/>
                <w:bCs/>
                <w:sz w:val="20"/>
                <w:szCs w:val="20"/>
                <w:shd w:val="clear" w:color="auto" w:fill="FFFFFF"/>
              </w:rPr>
              <w:t>base centralisée interconnectée</w:t>
            </w:r>
          </w:p>
          <w:p w14:paraId="6E4BECB5" w14:textId="77777777" w:rsidR="00BF788D" w:rsidRDefault="005450AC" w:rsidP="00BF788D">
            <w:pPr>
              <w:spacing w:before="40" w:after="40"/>
              <w:rPr>
                <w:rFonts w:ascii="Kohinoor Devanagari" w:hAnsi="Kohinoor Devanagari" w:cs="Kohinoor Devanagari"/>
                <w:b/>
                <w:bCs/>
                <w:sz w:val="20"/>
                <w:szCs w:val="20"/>
                <w:shd w:val="clear" w:color="auto" w:fill="FFFFFF"/>
              </w:rPr>
            </w:pPr>
            <w:r w:rsidRPr="00E2284B">
              <w:rPr>
                <w:rFonts w:ascii="Kohinoor Devanagari" w:hAnsi="Kohinoor Devanagari" w:cs="Kohinoor Devanagari"/>
                <w:sz w:val="20"/>
                <w:szCs w:val="20"/>
                <w:shd w:val="clear" w:color="auto" w:fill="FFFFFF"/>
              </w:rPr>
              <w:t xml:space="preserve">• Ouverture au public en </w:t>
            </w:r>
            <w:r w:rsidRPr="00E2284B">
              <w:rPr>
                <w:rFonts w:ascii="Kohinoor Devanagari" w:hAnsi="Kohinoor Devanagari" w:cs="Kohinoor Devanagari"/>
                <w:b/>
                <w:bCs/>
                <w:sz w:val="20"/>
                <w:szCs w:val="20"/>
                <w:shd w:val="clear" w:color="auto" w:fill="FFFFFF"/>
              </w:rPr>
              <w:t>formats ouverts (CSV, JSON, API)</w:t>
            </w:r>
          </w:p>
          <w:p w14:paraId="6D097D50" w14:textId="77777777" w:rsidR="00BF788D" w:rsidRDefault="005450AC" w:rsidP="00BF788D">
            <w:pPr>
              <w:spacing w:before="40" w:after="40"/>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 xml:space="preserve">• Génération de </w:t>
            </w:r>
            <w:r w:rsidRPr="00E2284B">
              <w:rPr>
                <w:rFonts w:ascii="Kohinoor Devanagari" w:hAnsi="Kohinoor Devanagari" w:cs="Kohinoor Devanagari"/>
                <w:b/>
                <w:bCs/>
                <w:sz w:val="20"/>
                <w:szCs w:val="20"/>
                <w:shd w:val="clear" w:color="auto" w:fill="FFFFFF"/>
              </w:rPr>
              <w:t>rapports automatiques</w:t>
            </w:r>
            <w:r w:rsidRPr="00E2284B">
              <w:rPr>
                <w:rFonts w:ascii="Kohinoor Devanagari" w:hAnsi="Kohinoor Devanagari" w:cs="Kohinoor Devanagari"/>
                <w:sz w:val="20"/>
                <w:szCs w:val="20"/>
                <w:shd w:val="clear" w:color="auto" w:fill="FFFFFF"/>
              </w:rPr>
              <w:t xml:space="preserve"> par flux, entreprise, projet, collectivité</w:t>
            </w:r>
          </w:p>
          <w:p w14:paraId="098BA884" w14:textId="24B91FE6" w:rsidR="005450AC" w:rsidRPr="00E2284B" w:rsidRDefault="005450AC" w:rsidP="00BF788D">
            <w:pPr>
              <w:spacing w:before="40" w:after="40"/>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 Intégration dans les publications statistiques (INS) et budgétaires (DGTCFM)</w:t>
            </w:r>
          </w:p>
        </w:tc>
      </w:tr>
    </w:tbl>
    <w:p w14:paraId="59ACD0F8" w14:textId="5B14BFE1" w:rsidR="00E2284B" w:rsidRPr="00E2284B" w:rsidRDefault="00E2284B" w:rsidP="001059BE">
      <w:pPr>
        <w:pStyle w:val="Paragraphedeliste"/>
        <w:numPr>
          <w:ilvl w:val="0"/>
          <w:numId w:val="162"/>
        </w:numPr>
        <w:spacing w:before="120" w:after="120" w:line="240" w:lineRule="auto"/>
        <w:jc w:val="both"/>
        <w:rPr>
          <w:rFonts w:ascii="Kohinoor Devanagari" w:hAnsi="Kohinoor Devanagari" w:cs="Kohinoor Devanagari"/>
          <w:b/>
          <w:bCs/>
          <w:sz w:val="20"/>
          <w:szCs w:val="20"/>
          <w:shd w:val="clear" w:color="auto" w:fill="FFFFFF"/>
        </w:rPr>
      </w:pPr>
      <w:r w:rsidRPr="00E2284B">
        <w:rPr>
          <w:rFonts w:ascii="Kohinoor Devanagari" w:hAnsi="Kohinoor Devanagari" w:cs="Kohinoor Devanagari"/>
          <w:b/>
          <w:bCs/>
          <w:sz w:val="20"/>
          <w:szCs w:val="20"/>
          <w:shd w:val="clear" w:color="auto" w:fill="FFFFFF"/>
        </w:rPr>
        <w:t>Points de vigilance</w:t>
      </w:r>
    </w:p>
    <w:p w14:paraId="55D99BF3" w14:textId="77777777" w:rsidR="00E2284B" w:rsidRPr="00E2284B" w:rsidRDefault="00E2284B" w:rsidP="00E2284B">
      <w:p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sz w:val="20"/>
          <w:szCs w:val="20"/>
          <w:shd w:val="clear" w:color="auto" w:fill="FFFFFF"/>
        </w:rPr>
        <w:t>Pour garantir la durabilité et l’efficacité du système, les aspects suivants devront faire l’objet d’une attention soutenue :</w:t>
      </w:r>
    </w:p>
    <w:p w14:paraId="18409BA9" w14:textId="77777777" w:rsidR="00E2284B" w:rsidRPr="00E2284B" w:rsidRDefault="00E2284B" w:rsidP="001059BE">
      <w:pPr>
        <w:numPr>
          <w:ilvl w:val="0"/>
          <w:numId w:val="161"/>
        </w:num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Interopérabilité technique</w:t>
      </w:r>
      <w:r w:rsidRPr="00E2284B">
        <w:rPr>
          <w:rFonts w:ascii="Kohinoor Devanagari" w:hAnsi="Kohinoor Devanagari" w:cs="Kohinoor Devanagari"/>
          <w:sz w:val="20"/>
          <w:szCs w:val="20"/>
          <w:shd w:val="clear" w:color="auto" w:fill="FFFFFF"/>
        </w:rPr>
        <w:t xml:space="preserve"> : Assurer la compatibilité entre tous les systèmes concernés (PATRIMONIE, e-</w:t>
      </w:r>
      <w:proofErr w:type="spellStart"/>
      <w:r w:rsidRPr="00E2284B">
        <w:rPr>
          <w:rFonts w:ascii="Kohinoor Devanagari" w:hAnsi="Kohinoor Devanagari" w:cs="Kohinoor Devanagari"/>
          <w:sz w:val="20"/>
          <w:szCs w:val="20"/>
          <w:shd w:val="clear" w:color="auto" w:fill="FFFFFF"/>
        </w:rPr>
        <w:t>tax</w:t>
      </w:r>
      <w:proofErr w:type="spellEnd"/>
      <w:r w:rsidRPr="00E2284B">
        <w:rPr>
          <w:rFonts w:ascii="Kohinoor Devanagari" w:hAnsi="Kohinoor Devanagari" w:cs="Kohinoor Devanagari"/>
          <w:sz w:val="20"/>
          <w:szCs w:val="20"/>
          <w:shd w:val="clear" w:color="auto" w:fill="FFFFFF"/>
        </w:rPr>
        <w:t>, cadastre, RCCM, plateformes statistiques), via le développement d’</w:t>
      </w:r>
      <w:r w:rsidRPr="00E2284B">
        <w:rPr>
          <w:rFonts w:ascii="Kohinoor Devanagari" w:hAnsi="Kohinoor Devanagari" w:cs="Kohinoor Devanagari"/>
          <w:b/>
          <w:bCs/>
          <w:sz w:val="20"/>
          <w:szCs w:val="20"/>
          <w:shd w:val="clear" w:color="auto" w:fill="FFFFFF"/>
        </w:rPr>
        <w:t>interfaces normalisées</w:t>
      </w:r>
      <w:r w:rsidRPr="00E2284B">
        <w:rPr>
          <w:rFonts w:ascii="Kohinoor Devanagari" w:hAnsi="Kohinoor Devanagari" w:cs="Kohinoor Devanagari"/>
          <w:sz w:val="20"/>
          <w:szCs w:val="20"/>
          <w:shd w:val="clear" w:color="auto" w:fill="FFFFFF"/>
        </w:rPr>
        <w:t xml:space="preserve"> (API/ETL) et de formats unifiés.</w:t>
      </w:r>
    </w:p>
    <w:p w14:paraId="01A068D5" w14:textId="77777777" w:rsidR="00E2284B" w:rsidRPr="00E2284B" w:rsidRDefault="00E2284B" w:rsidP="001059BE">
      <w:pPr>
        <w:numPr>
          <w:ilvl w:val="0"/>
          <w:numId w:val="161"/>
        </w:num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Qualité et traçabilité des données</w:t>
      </w:r>
      <w:r w:rsidRPr="00E2284B">
        <w:rPr>
          <w:rFonts w:ascii="Kohinoor Devanagari" w:hAnsi="Kohinoor Devanagari" w:cs="Kohinoor Devanagari"/>
          <w:sz w:val="20"/>
          <w:szCs w:val="20"/>
          <w:shd w:val="clear" w:color="auto" w:fill="FFFFFF"/>
        </w:rPr>
        <w:t xml:space="preserve"> : Définir des </w:t>
      </w:r>
      <w:r w:rsidRPr="00E2284B">
        <w:rPr>
          <w:rFonts w:ascii="Kohinoor Devanagari" w:hAnsi="Kohinoor Devanagari" w:cs="Kohinoor Devanagari"/>
          <w:b/>
          <w:bCs/>
          <w:sz w:val="20"/>
          <w:szCs w:val="20"/>
          <w:shd w:val="clear" w:color="auto" w:fill="FFFFFF"/>
        </w:rPr>
        <w:t>protocoles de validation</w:t>
      </w:r>
      <w:r w:rsidRPr="00E2284B">
        <w:rPr>
          <w:rFonts w:ascii="Kohinoor Devanagari" w:hAnsi="Kohinoor Devanagari" w:cs="Kohinoor Devanagari"/>
          <w:sz w:val="20"/>
          <w:szCs w:val="20"/>
          <w:shd w:val="clear" w:color="auto" w:fill="FFFFFF"/>
        </w:rPr>
        <w:t xml:space="preserve">, des </w:t>
      </w:r>
      <w:r w:rsidRPr="00E2284B">
        <w:rPr>
          <w:rFonts w:ascii="Kohinoor Devanagari" w:hAnsi="Kohinoor Devanagari" w:cs="Kohinoor Devanagari"/>
          <w:b/>
          <w:bCs/>
          <w:sz w:val="20"/>
          <w:szCs w:val="20"/>
          <w:shd w:val="clear" w:color="auto" w:fill="FFFFFF"/>
        </w:rPr>
        <w:t>nomenclatures sectorielles</w:t>
      </w:r>
      <w:r w:rsidRPr="00E2284B">
        <w:rPr>
          <w:rFonts w:ascii="Kohinoor Devanagari" w:hAnsi="Kohinoor Devanagari" w:cs="Kohinoor Devanagari"/>
          <w:sz w:val="20"/>
          <w:szCs w:val="20"/>
          <w:shd w:val="clear" w:color="auto" w:fill="FFFFFF"/>
        </w:rPr>
        <w:t xml:space="preserve"> cohérentes, et des règles de contrôle qualité à intégrer dès l’étape de saisie.</w:t>
      </w:r>
    </w:p>
    <w:p w14:paraId="6415424D" w14:textId="0BE5490A" w:rsidR="00E2284B" w:rsidRPr="00E2284B" w:rsidRDefault="00E2284B" w:rsidP="001059BE">
      <w:pPr>
        <w:numPr>
          <w:ilvl w:val="0"/>
          <w:numId w:val="161"/>
        </w:num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Participation des producteurs de données</w:t>
      </w:r>
      <w:r w:rsidRPr="00E2284B">
        <w:rPr>
          <w:rFonts w:ascii="Kohinoor Devanagari" w:hAnsi="Kohinoor Devanagari" w:cs="Kohinoor Devanagari"/>
          <w:sz w:val="20"/>
          <w:szCs w:val="20"/>
          <w:shd w:val="clear" w:color="auto" w:fill="FFFFFF"/>
        </w:rPr>
        <w:t xml:space="preserve"> : Impliquer activement les régies financières, entreprises</w:t>
      </w:r>
      <w:r w:rsidR="008F2911">
        <w:rPr>
          <w:rFonts w:ascii="Kohinoor Devanagari" w:hAnsi="Kohinoor Devanagari" w:cs="Kohinoor Devanagari"/>
          <w:sz w:val="20"/>
          <w:szCs w:val="20"/>
          <w:shd w:val="clear" w:color="auto" w:fill="FFFFFF"/>
        </w:rPr>
        <w:t xml:space="preserve"> d’Etat</w:t>
      </w:r>
      <w:r w:rsidRPr="00E2284B">
        <w:rPr>
          <w:rFonts w:ascii="Kohinoor Devanagari" w:hAnsi="Kohinoor Devanagari" w:cs="Kohinoor Devanagari"/>
          <w:sz w:val="20"/>
          <w:szCs w:val="20"/>
          <w:shd w:val="clear" w:color="auto" w:fill="FFFFFF"/>
        </w:rPr>
        <w:t xml:space="preserve">, </w:t>
      </w:r>
      <w:r w:rsidR="008F2911">
        <w:rPr>
          <w:rFonts w:ascii="Kohinoor Devanagari" w:hAnsi="Kohinoor Devanagari" w:cs="Kohinoor Devanagari"/>
          <w:sz w:val="20"/>
          <w:szCs w:val="20"/>
          <w:shd w:val="clear" w:color="auto" w:fill="FFFFFF"/>
        </w:rPr>
        <w:t xml:space="preserve">les administrations minières et environnementales </w:t>
      </w:r>
      <w:r w:rsidRPr="00E2284B">
        <w:rPr>
          <w:rFonts w:ascii="Kohinoor Devanagari" w:hAnsi="Kohinoor Devanagari" w:cs="Kohinoor Devanagari"/>
          <w:sz w:val="20"/>
          <w:szCs w:val="20"/>
          <w:shd w:val="clear" w:color="auto" w:fill="FFFFFF"/>
        </w:rPr>
        <w:t>et collectivités territoriales dans la co-construction du système.</w:t>
      </w:r>
    </w:p>
    <w:p w14:paraId="1E9D6FC2" w14:textId="77777777" w:rsidR="00E2284B" w:rsidRPr="00E2284B" w:rsidRDefault="00E2284B" w:rsidP="001059BE">
      <w:pPr>
        <w:numPr>
          <w:ilvl w:val="0"/>
          <w:numId w:val="161"/>
        </w:num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Renforcement des capacités</w:t>
      </w:r>
      <w:r w:rsidRPr="00E2284B">
        <w:rPr>
          <w:rFonts w:ascii="Kohinoor Devanagari" w:hAnsi="Kohinoor Devanagari" w:cs="Kohinoor Devanagari"/>
          <w:sz w:val="20"/>
          <w:szCs w:val="20"/>
          <w:shd w:val="clear" w:color="auto" w:fill="FFFFFF"/>
        </w:rPr>
        <w:t xml:space="preserve"> : Prévoir des cycles réguliers de </w:t>
      </w:r>
      <w:r w:rsidRPr="00E2284B">
        <w:rPr>
          <w:rFonts w:ascii="Kohinoor Devanagari" w:hAnsi="Kohinoor Devanagari" w:cs="Kohinoor Devanagari"/>
          <w:b/>
          <w:bCs/>
          <w:sz w:val="20"/>
          <w:szCs w:val="20"/>
          <w:shd w:val="clear" w:color="auto" w:fill="FFFFFF"/>
        </w:rPr>
        <w:t>formation et d’assistance technique</w:t>
      </w:r>
      <w:r w:rsidRPr="00E2284B">
        <w:rPr>
          <w:rFonts w:ascii="Kohinoor Devanagari" w:hAnsi="Kohinoor Devanagari" w:cs="Kohinoor Devanagari"/>
          <w:sz w:val="20"/>
          <w:szCs w:val="20"/>
          <w:shd w:val="clear" w:color="auto" w:fill="FFFFFF"/>
        </w:rPr>
        <w:t>, y compris pour les entreprises artisanales, les OSC locales et les collectivités non connectées.</w:t>
      </w:r>
    </w:p>
    <w:p w14:paraId="18D5204C" w14:textId="7D1ED5B2" w:rsidR="001059BE" w:rsidRDefault="00E2284B" w:rsidP="001059BE">
      <w:pPr>
        <w:numPr>
          <w:ilvl w:val="0"/>
          <w:numId w:val="161"/>
        </w:numPr>
        <w:spacing w:before="120" w:after="120" w:line="240" w:lineRule="auto"/>
        <w:jc w:val="both"/>
        <w:rPr>
          <w:rFonts w:ascii="Kohinoor Devanagari" w:hAnsi="Kohinoor Devanagari" w:cs="Kohinoor Devanagari"/>
          <w:sz w:val="20"/>
          <w:szCs w:val="20"/>
          <w:shd w:val="clear" w:color="auto" w:fill="FFFFFF"/>
        </w:rPr>
      </w:pPr>
      <w:r w:rsidRPr="00E2284B">
        <w:rPr>
          <w:rFonts w:ascii="Kohinoor Devanagari" w:hAnsi="Kohinoor Devanagari" w:cs="Kohinoor Devanagari"/>
          <w:b/>
          <w:bCs/>
          <w:sz w:val="20"/>
          <w:szCs w:val="20"/>
          <w:shd w:val="clear" w:color="auto" w:fill="FFFFFF"/>
        </w:rPr>
        <w:t>Financement progressif et modulable</w:t>
      </w:r>
      <w:r w:rsidRPr="00E2284B">
        <w:rPr>
          <w:rFonts w:ascii="Kohinoor Devanagari" w:hAnsi="Kohinoor Devanagari" w:cs="Kohinoor Devanagari"/>
          <w:sz w:val="20"/>
          <w:szCs w:val="20"/>
          <w:shd w:val="clear" w:color="auto" w:fill="FFFFFF"/>
        </w:rPr>
        <w:t xml:space="preserve"> : Prévoir une </w:t>
      </w:r>
      <w:r w:rsidRPr="00E2284B">
        <w:rPr>
          <w:rFonts w:ascii="Kohinoor Devanagari" w:hAnsi="Kohinoor Devanagari" w:cs="Kohinoor Devanagari"/>
          <w:b/>
          <w:bCs/>
          <w:sz w:val="20"/>
          <w:szCs w:val="20"/>
          <w:shd w:val="clear" w:color="auto" w:fill="FFFFFF"/>
        </w:rPr>
        <w:t>budgétisation en tranches</w:t>
      </w:r>
      <w:r w:rsidRPr="00E2284B">
        <w:rPr>
          <w:rFonts w:ascii="Kohinoor Devanagari" w:hAnsi="Kohinoor Devanagari" w:cs="Kohinoor Devanagari"/>
          <w:sz w:val="20"/>
          <w:szCs w:val="20"/>
          <w:shd w:val="clear" w:color="auto" w:fill="FFFFFF"/>
        </w:rPr>
        <w:t xml:space="preserve"> selon les modules déployés, avec un appui potentiel de partenaires techniques.</w:t>
      </w:r>
    </w:p>
    <w:p w14:paraId="401DC616" w14:textId="77777777" w:rsidR="00F60780" w:rsidRDefault="00F60780">
      <w:pPr>
        <w:rPr>
          <w:rFonts w:ascii="Kohinoor Devanagari" w:hAnsi="Kohinoor Devanagari" w:cs="Kohinoor Devanagari"/>
          <w:sz w:val="20"/>
          <w:szCs w:val="20"/>
          <w:shd w:val="clear" w:color="auto" w:fill="FFFFFF"/>
        </w:rPr>
      </w:pPr>
    </w:p>
    <w:p w14:paraId="2296BD15" w14:textId="77777777" w:rsidR="00F60780" w:rsidRDefault="00F60780">
      <w:pPr>
        <w:rPr>
          <w:rFonts w:ascii="Kohinoor Devanagari" w:hAnsi="Kohinoor Devanagari" w:cs="Kohinoor Devanagari"/>
          <w:sz w:val="20"/>
          <w:szCs w:val="20"/>
          <w:shd w:val="clear" w:color="auto" w:fill="FFFFFF"/>
        </w:rPr>
        <w:sectPr w:rsidR="00F60780" w:rsidSect="00405547">
          <w:headerReference w:type="default" r:id="rId45"/>
          <w:footerReference w:type="default" r:id="rId46"/>
          <w:pgSz w:w="11900" w:h="16840"/>
          <w:pgMar w:top="1418" w:right="1134" w:bottom="1418" w:left="1418" w:header="567" w:footer="567" w:gutter="0"/>
          <w:cols w:space="708"/>
          <w:docGrid w:linePitch="360"/>
        </w:sectPr>
      </w:pPr>
    </w:p>
    <w:p w14:paraId="2C8B0485" w14:textId="0261C6AE" w:rsidR="003D567B" w:rsidRPr="009B3188" w:rsidRDefault="00A26C7C" w:rsidP="007D6CE6">
      <w:pPr>
        <w:pStyle w:val="Titre1"/>
        <w:numPr>
          <w:ilvl w:val="0"/>
          <w:numId w:val="9"/>
        </w:numPr>
        <w:shd w:val="clear" w:color="auto" w:fill="61BC4D"/>
        <w:spacing w:before="0" w:line="240" w:lineRule="auto"/>
        <w:ind w:left="357" w:hanging="357"/>
        <w:rPr>
          <w:rFonts w:ascii="Kohinoor Devanagari" w:hAnsi="Kohinoor Devanagari" w:cs="Kohinoor Devanagari"/>
          <w:b/>
          <w:bCs/>
          <w:color w:val="FFFFFF" w:themeColor="background1"/>
          <w:sz w:val="26"/>
          <w:szCs w:val="26"/>
        </w:rPr>
      </w:pPr>
      <w:bookmarkStart w:id="49" w:name="_Toc204691636"/>
      <w:r w:rsidRPr="00A26C7C">
        <w:rPr>
          <w:rFonts w:ascii="Kohinoor Devanagari" w:hAnsi="Kohinoor Devanagari" w:cs="Kohinoor Devanagari"/>
          <w:b/>
          <w:bCs/>
          <w:color w:val="FFFFFF" w:themeColor="background1"/>
          <w:sz w:val="26"/>
          <w:szCs w:val="26"/>
        </w:rPr>
        <w:lastRenderedPageBreak/>
        <w:t>Feuille de route pour la mise en œuvre progressive de la divulgation systématique</w:t>
      </w:r>
      <w:bookmarkEnd w:id="49"/>
    </w:p>
    <w:p w14:paraId="70A8A30C" w14:textId="560079CA" w:rsidR="003D567B" w:rsidRDefault="005B24E8" w:rsidP="005B24E8">
      <w:pPr>
        <w:spacing w:before="120" w:after="120" w:line="240" w:lineRule="auto"/>
        <w:jc w:val="both"/>
        <w:rPr>
          <w:rFonts w:ascii="Kohinoor Devanagari" w:hAnsi="Kohinoor Devanagari" w:cs="Kohinoor Devanagari"/>
          <w:sz w:val="20"/>
          <w:szCs w:val="20"/>
          <w:shd w:val="clear" w:color="auto" w:fill="FFFFFF"/>
        </w:rPr>
      </w:pPr>
      <w:r w:rsidRPr="005B24E8">
        <w:rPr>
          <w:rFonts w:ascii="Kohinoor Devanagari" w:hAnsi="Kohinoor Devanagari" w:cs="Kohinoor Devanagari"/>
          <w:sz w:val="20"/>
          <w:szCs w:val="20"/>
          <w:shd w:val="clear" w:color="auto" w:fill="FFFFFF"/>
        </w:rPr>
        <w:t>La présente feuille de route propose une trajectoire opérationnelle structurée pour renforcer la transparence et l’accès aux données dans le secteur extractif au Cameroun, conformément à la Norme ITIE 2023. Elle est articulée autour de six axes stratégiques complémentaires, répondant aux contraintes techniques, institutionnelles, juridiques et organisationnelles identifiées lors de l’étude.</w:t>
      </w:r>
    </w:p>
    <w:tbl>
      <w:tblPr>
        <w:tblStyle w:val="Grilledutableau"/>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099"/>
        <w:gridCol w:w="2776"/>
        <w:gridCol w:w="1788"/>
        <w:gridCol w:w="1989"/>
        <w:gridCol w:w="1176"/>
        <w:gridCol w:w="1831"/>
        <w:gridCol w:w="2335"/>
      </w:tblGrid>
      <w:tr w:rsidR="00F137C8" w:rsidRPr="00A118F3" w14:paraId="4E35E4E3" w14:textId="77777777" w:rsidTr="0035216B">
        <w:trPr>
          <w:tblHeader/>
        </w:trPr>
        <w:tc>
          <w:tcPr>
            <w:tcW w:w="0" w:type="auto"/>
            <w:shd w:val="clear" w:color="auto" w:fill="47626F"/>
            <w:hideMark/>
          </w:tcPr>
          <w:p w14:paraId="6A673FCD"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Axe stratégique</w:t>
            </w:r>
          </w:p>
        </w:tc>
        <w:tc>
          <w:tcPr>
            <w:tcW w:w="0" w:type="auto"/>
            <w:shd w:val="clear" w:color="auto" w:fill="47626F"/>
            <w:hideMark/>
          </w:tcPr>
          <w:p w14:paraId="1607935C"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Action prioritaire</w:t>
            </w:r>
          </w:p>
        </w:tc>
        <w:tc>
          <w:tcPr>
            <w:tcW w:w="0" w:type="auto"/>
            <w:shd w:val="clear" w:color="auto" w:fill="47626F"/>
            <w:hideMark/>
          </w:tcPr>
          <w:p w14:paraId="3BACFBE0"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Responsable principal</w:t>
            </w:r>
          </w:p>
        </w:tc>
        <w:tc>
          <w:tcPr>
            <w:tcW w:w="0" w:type="auto"/>
            <w:shd w:val="clear" w:color="auto" w:fill="47626F"/>
            <w:hideMark/>
          </w:tcPr>
          <w:p w14:paraId="764796D7"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Partenaires clés</w:t>
            </w:r>
          </w:p>
        </w:tc>
        <w:tc>
          <w:tcPr>
            <w:tcW w:w="0" w:type="auto"/>
            <w:shd w:val="clear" w:color="auto" w:fill="47626F"/>
            <w:hideMark/>
          </w:tcPr>
          <w:p w14:paraId="3372A779"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Échéance</w:t>
            </w:r>
          </w:p>
        </w:tc>
        <w:tc>
          <w:tcPr>
            <w:tcW w:w="0" w:type="auto"/>
            <w:shd w:val="clear" w:color="auto" w:fill="47626F"/>
            <w:hideMark/>
          </w:tcPr>
          <w:p w14:paraId="508FA00D"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Indicateur de performance</w:t>
            </w:r>
          </w:p>
        </w:tc>
        <w:tc>
          <w:tcPr>
            <w:tcW w:w="0" w:type="auto"/>
            <w:shd w:val="clear" w:color="auto" w:fill="47626F"/>
            <w:hideMark/>
          </w:tcPr>
          <w:p w14:paraId="30FBFD6C" w14:textId="77777777" w:rsidR="00A118F3" w:rsidRPr="00A118F3" w:rsidRDefault="00A118F3" w:rsidP="0093383F">
            <w:pPr>
              <w:spacing w:before="40" w:after="40"/>
              <w:rPr>
                <w:rFonts w:ascii="Kohinoor Devanagari" w:hAnsi="Kohinoor Devanagari" w:cs="Kohinoor Devanagari"/>
                <w:b/>
                <w:bCs/>
                <w:color w:val="FFFFFF" w:themeColor="background1"/>
                <w:sz w:val="20"/>
                <w:szCs w:val="20"/>
              </w:rPr>
            </w:pPr>
            <w:r w:rsidRPr="00A118F3">
              <w:rPr>
                <w:rFonts w:ascii="Kohinoor Devanagari" w:hAnsi="Kohinoor Devanagari" w:cs="Kohinoor Devanagari"/>
                <w:b/>
                <w:bCs/>
                <w:color w:val="FFFFFF" w:themeColor="background1"/>
                <w:sz w:val="20"/>
                <w:szCs w:val="20"/>
              </w:rPr>
              <w:t>Lien avec contrainte identifiée</w:t>
            </w:r>
          </w:p>
        </w:tc>
      </w:tr>
      <w:tr w:rsidR="00F137C8" w:rsidRPr="00A118F3" w14:paraId="57F7EDE6" w14:textId="77777777" w:rsidTr="0035216B">
        <w:tc>
          <w:tcPr>
            <w:tcW w:w="0" w:type="auto"/>
            <w:vMerge w:val="restart"/>
            <w:hideMark/>
          </w:tcPr>
          <w:p w14:paraId="049AAB57"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t>Cadre institutionnel</w:t>
            </w:r>
          </w:p>
        </w:tc>
        <w:tc>
          <w:tcPr>
            <w:tcW w:w="0" w:type="auto"/>
            <w:hideMark/>
          </w:tcPr>
          <w:p w14:paraId="3CABD80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Élaboration d’une directive ou politique nationale sur la divulgation systématique</w:t>
            </w:r>
          </w:p>
        </w:tc>
        <w:tc>
          <w:tcPr>
            <w:tcW w:w="0" w:type="auto"/>
            <w:hideMark/>
          </w:tcPr>
          <w:p w14:paraId="278BAA49" w14:textId="7EBA1BCB" w:rsidR="00010D11"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r w:rsidR="00010D11" w:rsidRPr="00A118F3">
              <w:rPr>
                <w:rFonts w:ascii="Kohinoor Devanagari" w:hAnsi="Kohinoor Devanagari" w:cs="Kohinoor Devanagari"/>
                <w:sz w:val="20"/>
                <w:szCs w:val="20"/>
                <w:shd w:val="clear" w:color="auto" w:fill="FFFFFF"/>
              </w:rPr>
              <w:t>, MINFI</w:t>
            </w:r>
          </w:p>
        </w:tc>
        <w:tc>
          <w:tcPr>
            <w:tcW w:w="0" w:type="auto"/>
            <w:hideMark/>
          </w:tcPr>
          <w:p w14:paraId="34108444" w14:textId="256FBC3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Comité ITIE, </w:t>
            </w:r>
          </w:p>
        </w:tc>
        <w:tc>
          <w:tcPr>
            <w:tcW w:w="0" w:type="auto"/>
            <w:hideMark/>
          </w:tcPr>
          <w:p w14:paraId="78AF050F" w14:textId="3EA7D346"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F0600A">
              <w:rPr>
                <w:rFonts w:ascii="Kohinoor Devanagari" w:hAnsi="Kohinoor Devanagari" w:cs="Kohinoor Devanagari"/>
                <w:sz w:val="20"/>
                <w:szCs w:val="20"/>
                <w:shd w:val="clear" w:color="auto" w:fill="FFFFFF"/>
              </w:rPr>
              <w:t>4</w:t>
            </w:r>
            <w:r w:rsidRPr="00A118F3">
              <w:rPr>
                <w:rFonts w:ascii="Kohinoor Devanagari" w:hAnsi="Kohinoor Devanagari" w:cs="Kohinoor Devanagari"/>
                <w:sz w:val="20"/>
                <w:szCs w:val="20"/>
                <w:shd w:val="clear" w:color="auto" w:fill="FFFFFF"/>
              </w:rPr>
              <w:t xml:space="preserve"> 20</w:t>
            </w:r>
            <w:r w:rsidR="00F0600A">
              <w:rPr>
                <w:rFonts w:ascii="Kohinoor Devanagari" w:hAnsi="Kohinoor Devanagari" w:cs="Kohinoor Devanagari"/>
                <w:sz w:val="20"/>
                <w:szCs w:val="20"/>
                <w:shd w:val="clear" w:color="auto" w:fill="FFFFFF"/>
              </w:rPr>
              <w:t>25</w:t>
            </w:r>
          </w:p>
        </w:tc>
        <w:tc>
          <w:tcPr>
            <w:tcW w:w="0" w:type="auto"/>
            <w:hideMark/>
          </w:tcPr>
          <w:p w14:paraId="6D6200EA"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Politique formellement adoptée</w:t>
            </w:r>
          </w:p>
        </w:tc>
        <w:tc>
          <w:tcPr>
            <w:tcW w:w="0" w:type="auto"/>
            <w:hideMark/>
          </w:tcPr>
          <w:p w14:paraId="63CA039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Absence de cadre juridique formel</w:t>
            </w:r>
          </w:p>
        </w:tc>
      </w:tr>
      <w:tr w:rsidR="00F137C8" w:rsidRPr="00A118F3" w14:paraId="352E020E" w14:textId="77777777" w:rsidTr="0035216B">
        <w:tc>
          <w:tcPr>
            <w:tcW w:w="0" w:type="auto"/>
            <w:vMerge/>
            <w:hideMark/>
          </w:tcPr>
          <w:p w14:paraId="5D6E860A"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741926A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Structuration du comité technique interinstitutionnel</w:t>
            </w:r>
          </w:p>
        </w:tc>
        <w:tc>
          <w:tcPr>
            <w:tcW w:w="0" w:type="auto"/>
            <w:hideMark/>
          </w:tcPr>
          <w:p w14:paraId="03EC48D5"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DGTCFM</w:t>
            </w:r>
          </w:p>
        </w:tc>
        <w:tc>
          <w:tcPr>
            <w:tcW w:w="0" w:type="auto"/>
            <w:hideMark/>
          </w:tcPr>
          <w:p w14:paraId="1AB2D28C" w14:textId="4041D831"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DGI, DGD, </w:t>
            </w:r>
            <w:r w:rsidR="006E7EB6">
              <w:rPr>
                <w:rFonts w:ascii="Kohinoor Devanagari" w:hAnsi="Kohinoor Devanagari" w:cs="Kohinoor Devanagari"/>
                <w:sz w:val="20"/>
                <w:szCs w:val="20"/>
                <w:shd w:val="clear" w:color="auto" w:fill="FFFFFF"/>
              </w:rPr>
              <w:t>COMITÉ-ITIE</w:t>
            </w:r>
          </w:p>
        </w:tc>
        <w:tc>
          <w:tcPr>
            <w:tcW w:w="0" w:type="auto"/>
            <w:hideMark/>
          </w:tcPr>
          <w:p w14:paraId="5943FD0E" w14:textId="343DE898"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2F446F">
              <w:rPr>
                <w:rFonts w:ascii="Kohinoor Devanagari" w:hAnsi="Kohinoor Devanagari" w:cs="Kohinoor Devanagari"/>
                <w:sz w:val="20"/>
                <w:szCs w:val="20"/>
                <w:shd w:val="clear" w:color="auto" w:fill="FFFFFF"/>
              </w:rPr>
              <w:t>4</w:t>
            </w:r>
            <w:r w:rsidRPr="00A118F3">
              <w:rPr>
                <w:rFonts w:ascii="Kohinoor Devanagari" w:hAnsi="Kohinoor Devanagari" w:cs="Kohinoor Devanagari"/>
                <w:sz w:val="20"/>
                <w:szCs w:val="20"/>
                <w:shd w:val="clear" w:color="auto" w:fill="FFFFFF"/>
              </w:rPr>
              <w:t xml:space="preserve"> 2025</w:t>
            </w:r>
          </w:p>
        </w:tc>
        <w:tc>
          <w:tcPr>
            <w:tcW w:w="0" w:type="auto"/>
            <w:hideMark/>
          </w:tcPr>
          <w:p w14:paraId="204FE4C5"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Acte de création signé</w:t>
            </w:r>
          </w:p>
        </w:tc>
        <w:tc>
          <w:tcPr>
            <w:tcW w:w="0" w:type="auto"/>
            <w:hideMark/>
          </w:tcPr>
          <w:p w14:paraId="34081583"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Coordination technique faible</w:t>
            </w:r>
          </w:p>
        </w:tc>
      </w:tr>
      <w:tr w:rsidR="00F137C8" w:rsidRPr="00A118F3" w14:paraId="7FD5CCF8" w14:textId="77777777" w:rsidTr="0035216B">
        <w:tc>
          <w:tcPr>
            <w:tcW w:w="0" w:type="auto"/>
            <w:vMerge/>
            <w:hideMark/>
          </w:tcPr>
          <w:p w14:paraId="4111A728"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5D467BBA"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Création d’un groupe stratégique de pilotage</w:t>
            </w:r>
          </w:p>
        </w:tc>
        <w:tc>
          <w:tcPr>
            <w:tcW w:w="0" w:type="auto"/>
            <w:hideMark/>
          </w:tcPr>
          <w:p w14:paraId="7405725F"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 ITIE</w:t>
            </w:r>
          </w:p>
        </w:tc>
        <w:tc>
          <w:tcPr>
            <w:tcW w:w="0" w:type="auto"/>
            <w:hideMark/>
          </w:tcPr>
          <w:p w14:paraId="1001A49F"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MINFI, SNH, partenaires techniques</w:t>
            </w:r>
          </w:p>
        </w:tc>
        <w:tc>
          <w:tcPr>
            <w:tcW w:w="0" w:type="auto"/>
            <w:hideMark/>
          </w:tcPr>
          <w:p w14:paraId="2A150FDA" w14:textId="480D1C40"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4</w:t>
            </w:r>
            <w:r w:rsidRPr="00A118F3">
              <w:rPr>
                <w:rFonts w:ascii="Kohinoor Devanagari" w:hAnsi="Kohinoor Devanagari" w:cs="Kohinoor Devanagari"/>
                <w:sz w:val="20"/>
                <w:szCs w:val="20"/>
                <w:shd w:val="clear" w:color="auto" w:fill="FFFFFF"/>
              </w:rPr>
              <w:t xml:space="preserve"> 2025</w:t>
            </w:r>
          </w:p>
        </w:tc>
        <w:tc>
          <w:tcPr>
            <w:tcW w:w="0" w:type="auto"/>
            <w:hideMark/>
          </w:tcPr>
          <w:p w14:paraId="050DD87E"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Groupe formellement constitué et actif</w:t>
            </w:r>
          </w:p>
        </w:tc>
        <w:tc>
          <w:tcPr>
            <w:tcW w:w="0" w:type="auto"/>
            <w:hideMark/>
          </w:tcPr>
          <w:p w14:paraId="7F37196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Pilotage stratégique diffus</w:t>
            </w:r>
          </w:p>
        </w:tc>
      </w:tr>
      <w:tr w:rsidR="00F137C8" w:rsidRPr="00A118F3" w14:paraId="69C9F218" w14:textId="77777777" w:rsidTr="0035216B">
        <w:tc>
          <w:tcPr>
            <w:tcW w:w="0" w:type="auto"/>
            <w:vMerge w:val="restart"/>
            <w:hideMark/>
          </w:tcPr>
          <w:p w14:paraId="4825366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t>Architecture technique &amp; outils</w:t>
            </w:r>
          </w:p>
        </w:tc>
        <w:tc>
          <w:tcPr>
            <w:tcW w:w="0" w:type="auto"/>
            <w:hideMark/>
          </w:tcPr>
          <w:p w14:paraId="56A53EC6"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Cahier des charges global pour la plateforme ITIE</w:t>
            </w:r>
          </w:p>
        </w:tc>
        <w:tc>
          <w:tcPr>
            <w:tcW w:w="0" w:type="auto"/>
            <w:hideMark/>
          </w:tcPr>
          <w:p w14:paraId="1C660999" w14:textId="155D65BB" w:rsidR="00010D11" w:rsidRPr="00A118F3" w:rsidRDefault="008B5563"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Comité</w:t>
            </w:r>
            <w:r w:rsidR="006E7EB6">
              <w:rPr>
                <w:rFonts w:ascii="Kohinoor Devanagari" w:hAnsi="Kohinoor Devanagari" w:cs="Kohinoor Devanagari"/>
                <w:sz w:val="20"/>
                <w:szCs w:val="20"/>
                <w:shd w:val="clear" w:color="auto" w:fill="FFFFFF"/>
              </w:rPr>
              <w:t>-ITIE</w:t>
            </w:r>
            <w:r w:rsidR="00010D11" w:rsidRPr="00A118F3">
              <w:rPr>
                <w:rFonts w:ascii="Kohinoor Devanagari" w:hAnsi="Kohinoor Devanagari" w:cs="Kohinoor Devanagari"/>
                <w:sz w:val="20"/>
                <w:szCs w:val="20"/>
                <w:shd w:val="clear" w:color="auto" w:fill="FFFFFF"/>
              </w:rPr>
              <w:t xml:space="preserve">, </w:t>
            </w:r>
          </w:p>
        </w:tc>
        <w:tc>
          <w:tcPr>
            <w:tcW w:w="0" w:type="auto"/>
            <w:hideMark/>
          </w:tcPr>
          <w:p w14:paraId="118AF9FE" w14:textId="1C7FC361" w:rsidR="00010D11" w:rsidRPr="00A118F3" w:rsidRDefault="00F137C8"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 xml:space="preserve">MINFI, MINMIDT, MINEPDED, </w:t>
            </w:r>
            <w:r w:rsidR="00010D11" w:rsidRPr="00A118F3">
              <w:rPr>
                <w:rFonts w:ascii="Kohinoor Devanagari" w:hAnsi="Kohinoor Devanagari" w:cs="Kohinoor Devanagari"/>
                <w:sz w:val="20"/>
                <w:szCs w:val="20"/>
                <w:shd w:val="clear" w:color="auto" w:fill="FFFFFF"/>
              </w:rPr>
              <w:t>Consultant</w:t>
            </w:r>
            <w:r>
              <w:rPr>
                <w:rFonts w:ascii="Kohinoor Devanagari" w:hAnsi="Kohinoor Devanagari" w:cs="Kohinoor Devanagari"/>
                <w:sz w:val="20"/>
                <w:szCs w:val="20"/>
                <w:shd w:val="clear" w:color="auto" w:fill="FFFFFF"/>
              </w:rPr>
              <w:t>s</w:t>
            </w:r>
          </w:p>
        </w:tc>
        <w:tc>
          <w:tcPr>
            <w:tcW w:w="0" w:type="auto"/>
            <w:hideMark/>
          </w:tcPr>
          <w:p w14:paraId="1BA53CB9" w14:textId="1DA6C0A5"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1</w:t>
            </w:r>
            <w:r w:rsidRPr="00A118F3">
              <w:rPr>
                <w:rFonts w:ascii="Kohinoor Devanagari" w:hAnsi="Kohinoor Devanagari" w:cs="Kohinoor Devanagari"/>
                <w:sz w:val="20"/>
                <w:szCs w:val="20"/>
                <w:shd w:val="clear" w:color="auto" w:fill="FFFFFF"/>
              </w:rPr>
              <w:t xml:space="preserve"> 20</w:t>
            </w:r>
            <w:r w:rsidR="0035216B">
              <w:rPr>
                <w:rFonts w:ascii="Kohinoor Devanagari" w:hAnsi="Kohinoor Devanagari" w:cs="Kohinoor Devanagari"/>
                <w:sz w:val="20"/>
                <w:szCs w:val="20"/>
                <w:shd w:val="clear" w:color="auto" w:fill="FFFFFF"/>
              </w:rPr>
              <w:t>26</w:t>
            </w:r>
          </w:p>
        </w:tc>
        <w:tc>
          <w:tcPr>
            <w:tcW w:w="0" w:type="auto"/>
            <w:hideMark/>
          </w:tcPr>
          <w:p w14:paraId="2D17489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Cahier des charges validé</w:t>
            </w:r>
          </w:p>
        </w:tc>
        <w:tc>
          <w:tcPr>
            <w:tcW w:w="0" w:type="auto"/>
            <w:hideMark/>
          </w:tcPr>
          <w:p w14:paraId="7147C7D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Absence d’architecture technique intégrée</w:t>
            </w:r>
          </w:p>
        </w:tc>
      </w:tr>
      <w:tr w:rsidR="00F137C8" w:rsidRPr="00A118F3" w14:paraId="651EC98D" w14:textId="77777777" w:rsidTr="0035216B">
        <w:tc>
          <w:tcPr>
            <w:tcW w:w="0" w:type="auto"/>
            <w:vMerge/>
          </w:tcPr>
          <w:p w14:paraId="2A55064B" w14:textId="77777777" w:rsidR="00373F0C" w:rsidRPr="00A118F3" w:rsidRDefault="00373F0C" w:rsidP="00373F0C">
            <w:pPr>
              <w:spacing w:before="40" w:after="40"/>
              <w:jc w:val="both"/>
              <w:rPr>
                <w:rFonts w:ascii="Kohinoor Devanagari" w:hAnsi="Kohinoor Devanagari" w:cs="Kohinoor Devanagari"/>
                <w:b/>
                <w:bCs/>
                <w:sz w:val="20"/>
                <w:szCs w:val="20"/>
                <w:shd w:val="clear" w:color="auto" w:fill="FFFFFF"/>
              </w:rPr>
            </w:pPr>
          </w:p>
        </w:tc>
        <w:tc>
          <w:tcPr>
            <w:tcW w:w="0" w:type="auto"/>
          </w:tcPr>
          <w:p w14:paraId="1ADF26E4" w14:textId="6F1FD698" w:rsidR="00373F0C" w:rsidRPr="00A118F3" w:rsidRDefault="00373F0C" w:rsidP="00373F0C">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Définition d’un canevas standard de publication </w:t>
            </w:r>
            <w:r>
              <w:rPr>
                <w:rFonts w:ascii="Kohinoor Devanagari" w:hAnsi="Kohinoor Devanagari" w:cs="Kohinoor Devanagari"/>
                <w:sz w:val="20"/>
                <w:szCs w:val="20"/>
                <w:shd w:val="clear" w:color="auto" w:fill="FFFFFF"/>
              </w:rPr>
              <w:t>des données</w:t>
            </w:r>
          </w:p>
        </w:tc>
        <w:tc>
          <w:tcPr>
            <w:tcW w:w="0" w:type="auto"/>
          </w:tcPr>
          <w:p w14:paraId="7DE3C2C7" w14:textId="337880ED" w:rsidR="00373F0C" w:rsidRDefault="00373F0C" w:rsidP="00373F0C">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Comité ITIE</w:t>
            </w:r>
          </w:p>
        </w:tc>
        <w:tc>
          <w:tcPr>
            <w:tcW w:w="0" w:type="auto"/>
          </w:tcPr>
          <w:p w14:paraId="25B45736" w14:textId="123F2297" w:rsidR="00373F0C" w:rsidRPr="00A118F3" w:rsidRDefault="002F446F" w:rsidP="00373F0C">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Entités déclarantes</w:t>
            </w:r>
            <w:r w:rsidR="00F137C8">
              <w:rPr>
                <w:rFonts w:ascii="Kohinoor Devanagari" w:hAnsi="Kohinoor Devanagari" w:cs="Kohinoor Devanagari"/>
                <w:sz w:val="20"/>
                <w:szCs w:val="20"/>
                <w:shd w:val="clear" w:color="auto" w:fill="FFFFFF"/>
              </w:rPr>
              <w:t xml:space="preserve">, </w:t>
            </w:r>
            <w:r w:rsidR="00F137C8" w:rsidRPr="00A118F3">
              <w:rPr>
                <w:rFonts w:ascii="Kohinoor Devanagari" w:hAnsi="Kohinoor Devanagari" w:cs="Kohinoor Devanagari"/>
                <w:sz w:val="20"/>
                <w:szCs w:val="20"/>
                <w:shd w:val="clear" w:color="auto" w:fill="FFFFFF"/>
              </w:rPr>
              <w:t>Consultant</w:t>
            </w:r>
            <w:r w:rsidR="00F137C8">
              <w:rPr>
                <w:rFonts w:ascii="Kohinoor Devanagari" w:hAnsi="Kohinoor Devanagari" w:cs="Kohinoor Devanagari"/>
                <w:sz w:val="20"/>
                <w:szCs w:val="20"/>
                <w:shd w:val="clear" w:color="auto" w:fill="FFFFFF"/>
              </w:rPr>
              <w:t>s</w:t>
            </w:r>
          </w:p>
        </w:tc>
        <w:tc>
          <w:tcPr>
            <w:tcW w:w="0" w:type="auto"/>
          </w:tcPr>
          <w:p w14:paraId="12828378" w14:textId="1393A5B7" w:rsidR="00373F0C" w:rsidRPr="00A118F3" w:rsidRDefault="002F446F" w:rsidP="00373F0C">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1</w:t>
            </w:r>
            <w:r w:rsidRPr="00A118F3">
              <w:rPr>
                <w:rFonts w:ascii="Kohinoor Devanagari" w:hAnsi="Kohinoor Devanagari" w:cs="Kohinoor Devanagari"/>
                <w:sz w:val="20"/>
                <w:szCs w:val="20"/>
                <w:shd w:val="clear" w:color="auto" w:fill="FFFFFF"/>
              </w:rPr>
              <w:t xml:space="preserve"> 202</w:t>
            </w:r>
            <w:r w:rsidR="0035216B">
              <w:rPr>
                <w:rFonts w:ascii="Kohinoor Devanagari" w:hAnsi="Kohinoor Devanagari" w:cs="Kohinoor Devanagari"/>
                <w:sz w:val="20"/>
                <w:szCs w:val="20"/>
                <w:shd w:val="clear" w:color="auto" w:fill="FFFFFF"/>
              </w:rPr>
              <w:t>6</w:t>
            </w:r>
          </w:p>
        </w:tc>
        <w:tc>
          <w:tcPr>
            <w:tcW w:w="0" w:type="auto"/>
          </w:tcPr>
          <w:p w14:paraId="33FA45B2" w14:textId="302BD46F" w:rsidR="00373F0C" w:rsidRPr="00A118F3" w:rsidRDefault="00373F0C" w:rsidP="00373F0C">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Format validé par le </w:t>
            </w:r>
            <w:r>
              <w:rPr>
                <w:rFonts w:ascii="Kohinoor Devanagari" w:hAnsi="Kohinoor Devanagari" w:cs="Kohinoor Devanagari"/>
                <w:sz w:val="20"/>
                <w:szCs w:val="20"/>
                <w:shd w:val="clear" w:color="auto" w:fill="FFFFFF"/>
              </w:rPr>
              <w:t>Comité</w:t>
            </w:r>
            <w:r w:rsidRPr="00A118F3">
              <w:rPr>
                <w:rFonts w:ascii="Kohinoor Devanagari" w:hAnsi="Kohinoor Devanagari" w:cs="Kohinoor Devanagari"/>
                <w:sz w:val="20"/>
                <w:szCs w:val="20"/>
                <w:shd w:val="clear" w:color="auto" w:fill="FFFFFF"/>
              </w:rPr>
              <w:t xml:space="preserve"> ITIE</w:t>
            </w:r>
          </w:p>
        </w:tc>
        <w:tc>
          <w:tcPr>
            <w:tcW w:w="0" w:type="auto"/>
          </w:tcPr>
          <w:p w14:paraId="235092DC" w14:textId="1D7E8611" w:rsidR="00373F0C" w:rsidRPr="00A118F3" w:rsidRDefault="00373F0C" w:rsidP="00373F0C">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Données non structurées ni périodiques</w:t>
            </w:r>
          </w:p>
        </w:tc>
      </w:tr>
      <w:tr w:rsidR="00F137C8" w:rsidRPr="00A118F3" w14:paraId="26E60646" w14:textId="77777777" w:rsidTr="0035216B">
        <w:tc>
          <w:tcPr>
            <w:tcW w:w="0" w:type="auto"/>
            <w:vMerge/>
            <w:hideMark/>
          </w:tcPr>
          <w:p w14:paraId="03597A15"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1AAD38AB"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Développement de l’extracteur depuis PATRIMONIE</w:t>
            </w:r>
          </w:p>
        </w:tc>
        <w:tc>
          <w:tcPr>
            <w:tcW w:w="0" w:type="auto"/>
            <w:hideMark/>
          </w:tcPr>
          <w:p w14:paraId="0263C514" w14:textId="2C6AF5D5" w:rsidR="00010D11" w:rsidRPr="00A118F3" w:rsidRDefault="008368E4"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MINFI/</w:t>
            </w:r>
            <w:r w:rsidR="00010D11" w:rsidRPr="00A118F3">
              <w:rPr>
                <w:rFonts w:ascii="Kohinoor Devanagari" w:hAnsi="Kohinoor Devanagari" w:cs="Kohinoor Devanagari"/>
                <w:sz w:val="20"/>
                <w:szCs w:val="20"/>
                <w:shd w:val="clear" w:color="auto" w:fill="FFFFFF"/>
              </w:rPr>
              <w:t>DGTCFM</w:t>
            </w:r>
          </w:p>
        </w:tc>
        <w:tc>
          <w:tcPr>
            <w:tcW w:w="0" w:type="auto"/>
            <w:hideMark/>
          </w:tcPr>
          <w:p w14:paraId="488C3248" w14:textId="0E55C4A8" w:rsidR="00010D11" w:rsidRPr="00A118F3" w:rsidRDefault="00DE4CE4"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DGTCFM</w:t>
            </w:r>
          </w:p>
        </w:tc>
        <w:tc>
          <w:tcPr>
            <w:tcW w:w="0" w:type="auto"/>
            <w:hideMark/>
          </w:tcPr>
          <w:p w14:paraId="4571DFD5" w14:textId="6B7D91BF"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2</w:t>
            </w:r>
            <w:r w:rsidRPr="00A118F3">
              <w:rPr>
                <w:rFonts w:ascii="Kohinoor Devanagari" w:hAnsi="Kohinoor Devanagari" w:cs="Kohinoor Devanagari"/>
                <w:sz w:val="20"/>
                <w:szCs w:val="20"/>
                <w:shd w:val="clear" w:color="auto" w:fill="FFFFFF"/>
              </w:rPr>
              <w:t xml:space="preserve"> 2026</w:t>
            </w:r>
          </w:p>
        </w:tc>
        <w:tc>
          <w:tcPr>
            <w:tcW w:w="0" w:type="auto"/>
            <w:hideMark/>
          </w:tcPr>
          <w:p w14:paraId="3CA4B988"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Extracteur opérationnel</w:t>
            </w:r>
          </w:p>
        </w:tc>
        <w:tc>
          <w:tcPr>
            <w:tcW w:w="0" w:type="auto"/>
            <w:hideMark/>
          </w:tcPr>
          <w:p w14:paraId="166E775E"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Données non désagrégées</w:t>
            </w:r>
          </w:p>
        </w:tc>
      </w:tr>
      <w:tr w:rsidR="00F137C8" w:rsidRPr="00A118F3" w14:paraId="0C366C9B" w14:textId="77777777" w:rsidTr="0035216B">
        <w:tc>
          <w:tcPr>
            <w:tcW w:w="0" w:type="auto"/>
            <w:vMerge/>
            <w:hideMark/>
          </w:tcPr>
          <w:p w14:paraId="618B7CF3"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3F456818"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Développement du module de télédéclaration</w:t>
            </w:r>
          </w:p>
        </w:tc>
        <w:tc>
          <w:tcPr>
            <w:tcW w:w="0" w:type="auto"/>
            <w:hideMark/>
          </w:tcPr>
          <w:p w14:paraId="64B7372F" w14:textId="26A05E7D" w:rsidR="00010D11"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 ITIE</w:t>
            </w:r>
          </w:p>
        </w:tc>
        <w:tc>
          <w:tcPr>
            <w:tcW w:w="0" w:type="auto"/>
            <w:hideMark/>
          </w:tcPr>
          <w:p w14:paraId="63CCF770" w14:textId="14A6F378"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CTD, entreprises, CNPS</w:t>
            </w:r>
            <w:r w:rsidR="00DE4CE4">
              <w:rPr>
                <w:rFonts w:ascii="Kohinoor Devanagari" w:hAnsi="Kohinoor Devanagari" w:cs="Kohinoor Devanagari"/>
                <w:sz w:val="20"/>
                <w:szCs w:val="20"/>
                <w:shd w:val="clear" w:color="auto" w:fill="FFFFFF"/>
              </w:rPr>
              <w:t xml:space="preserve">, </w:t>
            </w:r>
            <w:r w:rsidR="001D08C1">
              <w:rPr>
                <w:rFonts w:ascii="Kohinoor Devanagari" w:hAnsi="Kohinoor Devanagari" w:cs="Kohinoor Devanagari"/>
                <w:sz w:val="20"/>
                <w:szCs w:val="20"/>
                <w:shd w:val="clear" w:color="auto" w:fill="FFFFFF"/>
              </w:rPr>
              <w:t>administrations publiques</w:t>
            </w:r>
          </w:p>
        </w:tc>
        <w:tc>
          <w:tcPr>
            <w:tcW w:w="0" w:type="auto"/>
            <w:hideMark/>
          </w:tcPr>
          <w:p w14:paraId="493D7D1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T3 2026</w:t>
            </w:r>
          </w:p>
        </w:tc>
        <w:tc>
          <w:tcPr>
            <w:tcW w:w="0" w:type="auto"/>
            <w:hideMark/>
          </w:tcPr>
          <w:p w14:paraId="56F3FF4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Module en ligne et utilisé</w:t>
            </w:r>
          </w:p>
        </w:tc>
        <w:tc>
          <w:tcPr>
            <w:tcW w:w="0" w:type="auto"/>
            <w:hideMark/>
          </w:tcPr>
          <w:p w14:paraId="6994CAD6"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Données non transmises hors interconnexion</w:t>
            </w:r>
          </w:p>
        </w:tc>
      </w:tr>
      <w:tr w:rsidR="00F137C8" w:rsidRPr="00A118F3" w14:paraId="57AFE76E" w14:textId="77777777" w:rsidTr="0035216B">
        <w:tc>
          <w:tcPr>
            <w:tcW w:w="0" w:type="auto"/>
            <w:vMerge/>
            <w:hideMark/>
          </w:tcPr>
          <w:p w14:paraId="1EF12943"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24C8B69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Mise en place d’un entrepôt de données ITIE centralisé</w:t>
            </w:r>
          </w:p>
        </w:tc>
        <w:tc>
          <w:tcPr>
            <w:tcW w:w="0" w:type="auto"/>
            <w:hideMark/>
          </w:tcPr>
          <w:p w14:paraId="4311DB75" w14:textId="7F1DE9A2" w:rsidR="00010D11"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p>
        </w:tc>
        <w:tc>
          <w:tcPr>
            <w:tcW w:w="0" w:type="auto"/>
            <w:hideMark/>
          </w:tcPr>
          <w:p w14:paraId="1F1CE31C"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MINFI, INS, DGTCFM, SONAMINES, SNH, MINEPDED</w:t>
            </w:r>
          </w:p>
        </w:tc>
        <w:tc>
          <w:tcPr>
            <w:tcW w:w="0" w:type="auto"/>
            <w:hideMark/>
          </w:tcPr>
          <w:p w14:paraId="32416737" w14:textId="6D834591"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3</w:t>
            </w:r>
            <w:r w:rsidRPr="00A118F3">
              <w:rPr>
                <w:rFonts w:ascii="Kohinoor Devanagari" w:hAnsi="Kohinoor Devanagari" w:cs="Kohinoor Devanagari"/>
                <w:sz w:val="20"/>
                <w:szCs w:val="20"/>
                <w:shd w:val="clear" w:color="auto" w:fill="FFFFFF"/>
              </w:rPr>
              <w:t xml:space="preserve"> 2026</w:t>
            </w:r>
          </w:p>
        </w:tc>
        <w:tc>
          <w:tcPr>
            <w:tcW w:w="0" w:type="auto"/>
            <w:hideMark/>
          </w:tcPr>
          <w:p w14:paraId="12216BBF"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Base de données fonctionnelle</w:t>
            </w:r>
          </w:p>
        </w:tc>
        <w:tc>
          <w:tcPr>
            <w:tcW w:w="0" w:type="auto"/>
            <w:hideMark/>
          </w:tcPr>
          <w:p w14:paraId="272F2BCC"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Fragmentation des bases, absence de consolidation</w:t>
            </w:r>
          </w:p>
        </w:tc>
      </w:tr>
      <w:tr w:rsidR="00F137C8" w:rsidRPr="00A118F3" w14:paraId="3C783314" w14:textId="77777777" w:rsidTr="0035216B">
        <w:tc>
          <w:tcPr>
            <w:tcW w:w="0" w:type="auto"/>
            <w:vMerge/>
            <w:hideMark/>
          </w:tcPr>
          <w:p w14:paraId="124E5B41"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630F7C7E"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Recrutement d’un administrateur de données pour le système centralisé</w:t>
            </w:r>
          </w:p>
        </w:tc>
        <w:tc>
          <w:tcPr>
            <w:tcW w:w="0" w:type="auto"/>
            <w:hideMark/>
          </w:tcPr>
          <w:p w14:paraId="6427CA3C" w14:textId="69D1231A" w:rsidR="00010D11"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p>
        </w:tc>
        <w:tc>
          <w:tcPr>
            <w:tcW w:w="0" w:type="auto"/>
            <w:hideMark/>
          </w:tcPr>
          <w:p w14:paraId="65863F2E"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MINFI, PTF</w:t>
            </w:r>
          </w:p>
        </w:tc>
        <w:tc>
          <w:tcPr>
            <w:tcW w:w="0" w:type="auto"/>
            <w:hideMark/>
          </w:tcPr>
          <w:p w14:paraId="6A32AA50" w14:textId="7BC41296"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2</w:t>
            </w:r>
            <w:r w:rsidRPr="00A118F3">
              <w:rPr>
                <w:rFonts w:ascii="Kohinoor Devanagari" w:hAnsi="Kohinoor Devanagari" w:cs="Kohinoor Devanagari"/>
                <w:sz w:val="20"/>
                <w:szCs w:val="20"/>
                <w:shd w:val="clear" w:color="auto" w:fill="FFFFFF"/>
              </w:rPr>
              <w:t xml:space="preserve"> 2026</w:t>
            </w:r>
          </w:p>
        </w:tc>
        <w:tc>
          <w:tcPr>
            <w:tcW w:w="0" w:type="auto"/>
            <w:hideMark/>
          </w:tcPr>
          <w:p w14:paraId="34BCC0C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Administrateur en poste</w:t>
            </w:r>
          </w:p>
        </w:tc>
        <w:tc>
          <w:tcPr>
            <w:tcW w:w="0" w:type="auto"/>
            <w:hideMark/>
          </w:tcPr>
          <w:p w14:paraId="483BE2CA"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Absence de capacité dédiée pour la gestion des données</w:t>
            </w:r>
          </w:p>
        </w:tc>
      </w:tr>
      <w:tr w:rsidR="00F137C8" w:rsidRPr="00A118F3" w14:paraId="63FE3DFF" w14:textId="77777777" w:rsidTr="0035216B">
        <w:tc>
          <w:tcPr>
            <w:tcW w:w="0" w:type="auto"/>
            <w:vMerge w:val="restart"/>
            <w:hideMark/>
          </w:tcPr>
          <w:p w14:paraId="6A4C5BFB"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t>Interopérabilité &amp; systèmes sources</w:t>
            </w:r>
          </w:p>
        </w:tc>
        <w:tc>
          <w:tcPr>
            <w:tcW w:w="0" w:type="auto"/>
            <w:hideMark/>
          </w:tcPr>
          <w:p w14:paraId="0E71A49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Création d’API avec PATRIMONIE, CAMSIS, HARMONIES, Cadastre minier, RCCM, Portails BE et environnemental</w:t>
            </w:r>
          </w:p>
        </w:tc>
        <w:tc>
          <w:tcPr>
            <w:tcW w:w="0" w:type="auto"/>
            <w:hideMark/>
          </w:tcPr>
          <w:p w14:paraId="38C43116" w14:textId="1928B05B" w:rsidR="00010D11" w:rsidRPr="00A118F3" w:rsidRDefault="00BA1972"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MINFI/</w:t>
            </w:r>
            <w:r w:rsidR="00010D11" w:rsidRPr="00A118F3">
              <w:rPr>
                <w:rFonts w:ascii="Kohinoor Devanagari" w:hAnsi="Kohinoor Devanagari" w:cs="Kohinoor Devanagari"/>
                <w:sz w:val="20"/>
                <w:szCs w:val="20"/>
                <w:shd w:val="clear" w:color="auto" w:fill="FFFFFF"/>
              </w:rPr>
              <w:t xml:space="preserve"> </w:t>
            </w:r>
            <w:r w:rsidR="006E7EB6" w:rsidRPr="00A118F3">
              <w:rPr>
                <w:rFonts w:ascii="Kohinoor Devanagari" w:hAnsi="Kohinoor Devanagari" w:cs="Kohinoor Devanagari"/>
                <w:sz w:val="20"/>
                <w:szCs w:val="20"/>
                <w:shd w:val="clear" w:color="auto" w:fill="FFFFFF"/>
              </w:rPr>
              <w:t>Comité</w:t>
            </w:r>
            <w:r w:rsidR="006E7EB6">
              <w:rPr>
                <w:rFonts w:ascii="Kohinoor Devanagari" w:hAnsi="Kohinoor Devanagari" w:cs="Kohinoor Devanagari"/>
                <w:sz w:val="20"/>
                <w:szCs w:val="20"/>
                <w:shd w:val="clear" w:color="auto" w:fill="FFFFFF"/>
              </w:rPr>
              <w:t xml:space="preserve"> -ITIE</w:t>
            </w:r>
          </w:p>
        </w:tc>
        <w:tc>
          <w:tcPr>
            <w:tcW w:w="0" w:type="auto"/>
            <w:hideMark/>
          </w:tcPr>
          <w:p w14:paraId="599BF8F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MINJUSTICE, MINMIDT, MINEPDED</w:t>
            </w:r>
          </w:p>
        </w:tc>
        <w:tc>
          <w:tcPr>
            <w:tcW w:w="0" w:type="auto"/>
            <w:hideMark/>
          </w:tcPr>
          <w:p w14:paraId="4FAB5C7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T3 2026</w:t>
            </w:r>
          </w:p>
        </w:tc>
        <w:tc>
          <w:tcPr>
            <w:tcW w:w="0" w:type="auto"/>
            <w:hideMark/>
          </w:tcPr>
          <w:p w14:paraId="7C066225"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Nombre de systèmes interconnectés</w:t>
            </w:r>
          </w:p>
        </w:tc>
        <w:tc>
          <w:tcPr>
            <w:tcW w:w="0" w:type="auto"/>
            <w:hideMark/>
          </w:tcPr>
          <w:p w14:paraId="1BF0126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Silos d'information, absence de passerelles techniques</w:t>
            </w:r>
          </w:p>
        </w:tc>
      </w:tr>
      <w:tr w:rsidR="00F137C8" w:rsidRPr="00A118F3" w14:paraId="2235EDC1" w14:textId="77777777" w:rsidTr="0035216B">
        <w:tc>
          <w:tcPr>
            <w:tcW w:w="0" w:type="auto"/>
            <w:vMerge/>
            <w:hideMark/>
          </w:tcPr>
          <w:p w14:paraId="2B9D5E4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4F362F7E"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Amélioration de l’extraction des données du cadastre minier, y compris actes d’octroi et contrats</w:t>
            </w:r>
          </w:p>
        </w:tc>
        <w:tc>
          <w:tcPr>
            <w:tcW w:w="0" w:type="auto"/>
            <w:hideMark/>
          </w:tcPr>
          <w:p w14:paraId="6CC8D7FA"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MINMIDT</w:t>
            </w:r>
          </w:p>
        </w:tc>
        <w:tc>
          <w:tcPr>
            <w:tcW w:w="0" w:type="auto"/>
            <w:hideMark/>
          </w:tcPr>
          <w:p w14:paraId="70127E8A" w14:textId="6B1F9652" w:rsidR="00010D11" w:rsidRPr="00A118F3" w:rsidRDefault="00110929"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 xml:space="preserve">Sous </w:t>
            </w:r>
            <w:proofErr w:type="spellStart"/>
            <w:r>
              <w:rPr>
                <w:rFonts w:ascii="Kohinoor Devanagari" w:hAnsi="Kohinoor Devanagari" w:cs="Kohinoor Devanagari"/>
                <w:sz w:val="20"/>
                <w:szCs w:val="20"/>
                <w:shd w:val="clear" w:color="auto" w:fill="FFFFFF"/>
              </w:rPr>
              <w:t>Dir</w:t>
            </w:r>
            <w:proofErr w:type="spellEnd"/>
            <w:r>
              <w:rPr>
                <w:rFonts w:ascii="Kohinoor Devanagari" w:hAnsi="Kohinoor Devanagari" w:cs="Kohinoor Devanagari"/>
                <w:sz w:val="20"/>
                <w:szCs w:val="20"/>
                <w:shd w:val="clear" w:color="auto" w:fill="FFFFFF"/>
              </w:rPr>
              <w:t xml:space="preserve"> Cadastre Minier</w:t>
            </w:r>
            <w:r w:rsidR="00865D24">
              <w:rPr>
                <w:rFonts w:ascii="Kohinoor Devanagari" w:hAnsi="Kohinoor Devanagari" w:cs="Kohinoor Devanagari"/>
                <w:sz w:val="20"/>
                <w:szCs w:val="20"/>
                <w:shd w:val="clear" w:color="auto" w:fill="FFFFFF"/>
              </w:rPr>
              <w:t>/Activités Minières</w:t>
            </w:r>
          </w:p>
        </w:tc>
        <w:tc>
          <w:tcPr>
            <w:tcW w:w="0" w:type="auto"/>
            <w:hideMark/>
          </w:tcPr>
          <w:p w14:paraId="108D638E" w14:textId="18E70108"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5216B">
              <w:rPr>
                <w:rFonts w:ascii="Kohinoor Devanagari" w:hAnsi="Kohinoor Devanagari" w:cs="Kohinoor Devanagari"/>
                <w:sz w:val="20"/>
                <w:szCs w:val="20"/>
                <w:shd w:val="clear" w:color="auto" w:fill="FFFFFF"/>
              </w:rPr>
              <w:t>1</w:t>
            </w:r>
            <w:r w:rsidRPr="00A118F3">
              <w:rPr>
                <w:rFonts w:ascii="Kohinoor Devanagari" w:hAnsi="Kohinoor Devanagari" w:cs="Kohinoor Devanagari"/>
                <w:sz w:val="20"/>
                <w:szCs w:val="20"/>
                <w:shd w:val="clear" w:color="auto" w:fill="FFFFFF"/>
              </w:rPr>
              <w:t xml:space="preserve"> 2026</w:t>
            </w:r>
          </w:p>
        </w:tc>
        <w:tc>
          <w:tcPr>
            <w:tcW w:w="0" w:type="auto"/>
            <w:hideMark/>
          </w:tcPr>
          <w:p w14:paraId="1B30F5F6"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Accès public aux titres et contrats miniers</w:t>
            </w:r>
          </w:p>
        </w:tc>
        <w:tc>
          <w:tcPr>
            <w:tcW w:w="0" w:type="auto"/>
            <w:hideMark/>
          </w:tcPr>
          <w:p w14:paraId="40589AC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Absence de transparence sur les procédures d’octroi</w:t>
            </w:r>
          </w:p>
        </w:tc>
      </w:tr>
      <w:tr w:rsidR="00F137C8" w:rsidRPr="00A118F3" w14:paraId="1969D7B9" w14:textId="77777777" w:rsidTr="0035216B">
        <w:tc>
          <w:tcPr>
            <w:tcW w:w="0" w:type="auto"/>
            <w:vMerge/>
            <w:hideMark/>
          </w:tcPr>
          <w:p w14:paraId="09EEC076"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275A1CF3"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Finalisation du cadastre pétrolier (SNH), avec </w:t>
            </w:r>
            <w:r w:rsidRPr="00A118F3">
              <w:rPr>
                <w:rFonts w:ascii="Kohinoor Devanagari" w:hAnsi="Kohinoor Devanagari" w:cs="Kohinoor Devanagari"/>
                <w:sz w:val="20"/>
                <w:szCs w:val="20"/>
                <w:shd w:val="clear" w:color="auto" w:fill="FFFFFF"/>
              </w:rPr>
              <w:lastRenderedPageBreak/>
              <w:t>intégration des titres et contrats</w:t>
            </w:r>
          </w:p>
        </w:tc>
        <w:tc>
          <w:tcPr>
            <w:tcW w:w="0" w:type="auto"/>
            <w:hideMark/>
          </w:tcPr>
          <w:p w14:paraId="471564F4"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lastRenderedPageBreak/>
              <w:t>SNH</w:t>
            </w:r>
          </w:p>
        </w:tc>
        <w:tc>
          <w:tcPr>
            <w:tcW w:w="0" w:type="auto"/>
            <w:hideMark/>
          </w:tcPr>
          <w:p w14:paraId="1ACEB3D8" w14:textId="1D530B37" w:rsidR="00010D11" w:rsidRPr="00A118F3" w:rsidRDefault="006E7EB6"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COMITÉ-ITIE</w:t>
            </w:r>
            <w:r w:rsidR="00010D11" w:rsidRPr="00A118F3">
              <w:rPr>
                <w:rFonts w:ascii="Kohinoor Devanagari" w:hAnsi="Kohinoor Devanagari" w:cs="Kohinoor Devanagari"/>
                <w:sz w:val="20"/>
                <w:szCs w:val="20"/>
                <w:shd w:val="clear" w:color="auto" w:fill="FFFFFF"/>
              </w:rPr>
              <w:t>, MINFI</w:t>
            </w:r>
          </w:p>
        </w:tc>
        <w:tc>
          <w:tcPr>
            <w:tcW w:w="0" w:type="auto"/>
            <w:hideMark/>
          </w:tcPr>
          <w:p w14:paraId="06D618B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T2 2026</w:t>
            </w:r>
          </w:p>
        </w:tc>
        <w:tc>
          <w:tcPr>
            <w:tcW w:w="0" w:type="auto"/>
            <w:hideMark/>
          </w:tcPr>
          <w:p w14:paraId="5E7F2DF9"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Données contractuelles </w:t>
            </w:r>
            <w:r w:rsidRPr="00A118F3">
              <w:rPr>
                <w:rFonts w:ascii="Kohinoor Devanagari" w:hAnsi="Kohinoor Devanagari" w:cs="Kohinoor Devanagari"/>
                <w:sz w:val="20"/>
                <w:szCs w:val="20"/>
                <w:shd w:val="clear" w:color="auto" w:fill="FFFFFF"/>
              </w:rPr>
              <w:lastRenderedPageBreak/>
              <w:t>pétrolières publiées</w:t>
            </w:r>
          </w:p>
        </w:tc>
        <w:tc>
          <w:tcPr>
            <w:tcW w:w="0" w:type="auto"/>
            <w:hideMark/>
          </w:tcPr>
          <w:p w14:paraId="50138F36"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lastRenderedPageBreak/>
              <w:t>Cadastre partiel, données non standardisées</w:t>
            </w:r>
          </w:p>
        </w:tc>
      </w:tr>
      <w:tr w:rsidR="00F137C8" w:rsidRPr="00A118F3" w14:paraId="39A43F1D" w14:textId="77777777" w:rsidTr="0035216B">
        <w:tc>
          <w:tcPr>
            <w:tcW w:w="0" w:type="auto"/>
            <w:vMerge/>
            <w:hideMark/>
          </w:tcPr>
          <w:p w14:paraId="0C85842A"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792BFC5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Déploiement de la base environnementale INS</w:t>
            </w:r>
          </w:p>
        </w:tc>
        <w:tc>
          <w:tcPr>
            <w:tcW w:w="0" w:type="auto"/>
            <w:hideMark/>
          </w:tcPr>
          <w:p w14:paraId="277BD76B"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INS</w:t>
            </w:r>
          </w:p>
        </w:tc>
        <w:tc>
          <w:tcPr>
            <w:tcW w:w="0" w:type="auto"/>
            <w:hideMark/>
          </w:tcPr>
          <w:p w14:paraId="5503E0A3" w14:textId="1959789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MINEPDED, </w:t>
            </w:r>
            <w:r w:rsidR="006E7EB6">
              <w:rPr>
                <w:rFonts w:ascii="Kohinoor Devanagari" w:hAnsi="Kohinoor Devanagari" w:cs="Kohinoor Devanagari"/>
                <w:sz w:val="20"/>
                <w:szCs w:val="20"/>
                <w:shd w:val="clear" w:color="auto" w:fill="FFFFFF"/>
              </w:rPr>
              <w:t>COMITÉ-ITIE</w:t>
            </w:r>
          </w:p>
        </w:tc>
        <w:tc>
          <w:tcPr>
            <w:tcW w:w="0" w:type="auto"/>
            <w:hideMark/>
          </w:tcPr>
          <w:p w14:paraId="10CDB2F8" w14:textId="05644FA6"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367F64">
              <w:rPr>
                <w:rFonts w:ascii="Kohinoor Devanagari" w:hAnsi="Kohinoor Devanagari" w:cs="Kohinoor Devanagari"/>
                <w:sz w:val="20"/>
                <w:szCs w:val="20"/>
                <w:shd w:val="clear" w:color="auto" w:fill="FFFFFF"/>
              </w:rPr>
              <w:t>1</w:t>
            </w:r>
            <w:r w:rsidRPr="00A118F3">
              <w:rPr>
                <w:rFonts w:ascii="Kohinoor Devanagari" w:hAnsi="Kohinoor Devanagari" w:cs="Kohinoor Devanagari"/>
                <w:sz w:val="20"/>
                <w:szCs w:val="20"/>
                <w:shd w:val="clear" w:color="auto" w:fill="FFFFFF"/>
              </w:rPr>
              <w:t xml:space="preserve"> 2028</w:t>
            </w:r>
          </w:p>
        </w:tc>
        <w:tc>
          <w:tcPr>
            <w:tcW w:w="0" w:type="auto"/>
            <w:hideMark/>
          </w:tcPr>
          <w:p w14:paraId="3E57A132"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Base disponible sur site public</w:t>
            </w:r>
          </w:p>
        </w:tc>
        <w:tc>
          <w:tcPr>
            <w:tcW w:w="0" w:type="auto"/>
            <w:hideMark/>
          </w:tcPr>
          <w:p w14:paraId="42CFD17B" w14:textId="77777777" w:rsidR="00010D11" w:rsidRPr="00A118F3" w:rsidRDefault="00010D11"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Absence de données environnementales structurées</w:t>
            </w:r>
          </w:p>
        </w:tc>
      </w:tr>
      <w:tr w:rsidR="00F137C8" w:rsidRPr="00A118F3" w14:paraId="07E8A6BB" w14:textId="77777777" w:rsidTr="0035216B">
        <w:tc>
          <w:tcPr>
            <w:tcW w:w="0" w:type="auto"/>
            <w:vMerge w:val="restart"/>
            <w:hideMark/>
          </w:tcPr>
          <w:p w14:paraId="6D1616CC" w14:textId="77777777"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t>Assurance des données &amp; qualité</w:t>
            </w:r>
          </w:p>
        </w:tc>
        <w:tc>
          <w:tcPr>
            <w:tcW w:w="0" w:type="auto"/>
            <w:hideMark/>
          </w:tcPr>
          <w:p w14:paraId="03757318" w14:textId="77777777"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Révision du mandat de l’Administrateur Indépendant (AI)</w:t>
            </w:r>
          </w:p>
        </w:tc>
        <w:tc>
          <w:tcPr>
            <w:tcW w:w="0" w:type="auto"/>
            <w:hideMark/>
          </w:tcPr>
          <w:p w14:paraId="4BCD113F" w14:textId="346BF176"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Comité</w:t>
            </w:r>
            <w:r w:rsidRPr="00A118F3">
              <w:rPr>
                <w:rFonts w:ascii="Kohinoor Devanagari" w:hAnsi="Kohinoor Devanagari" w:cs="Kohinoor Devanagari"/>
                <w:sz w:val="20"/>
                <w:szCs w:val="20"/>
                <w:shd w:val="clear" w:color="auto" w:fill="FFFFFF"/>
              </w:rPr>
              <w:t xml:space="preserve"> ITIE</w:t>
            </w:r>
          </w:p>
        </w:tc>
        <w:tc>
          <w:tcPr>
            <w:tcW w:w="0" w:type="auto"/>
            <w:hideMark/>
          </w:tcPr>
          <w:p w14:paraId="151B7A34" w14:textId="77777777"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AI, MINFI</w:t>
            </w:r>
          </w:p>
        </w:tc>
        <w:tc>
          <w:tcPr>
            <w:tcW w:w="0" w:type="auto"/>
            <w:hideMark/>
          </w:tcPr>
          <w:p w14:paraId="5A2BC7F9" w14:textId="7912499C"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865D24">
              <w:rPr>
                <w:rFonts w:ascii="Kohinoor Devanagari" w:hAnsi="Kohinoor Devanagari" w:cs="Kohinoor Devanagari"/>
                <w:sz w:val="20"/>
                <w:szCs w:val="20"/>
                <w:shd w:val="clear" w:color="auto" w:fill="FFFFFF"/>
              </w:rPr>
              <w:t>1</w:t>
            </w:r>
            <w:r w:rsidRPr="00A118F3">
              <w:rPr>
                <w:rFonts w:ascii="Kohinoor Devanagari" w:hAnsi="Kohinoor Devanagari" w:cs="Kohinoor Devanagari"/>
                <w:sz w:val="20"/>
                <w:szCs w:val="20"/>
                <w:shd w:val="clear" w:color="auto" w:fill="FFFFFF"/>
              </w:rPr>
              <w:t xml:space="preserve"> 202</w:t>
            </w:r>
            <w:r w:rsidR="00865D24">
              <w:rPr>
                <w:rFonts w:ascii="Kohinoor Devanagari" w:hAnsi="Kohinoor Devanagari" w:cs="Kohinoor Devanagari"/>
                <w:sz w:val="20"/>
                <w:szCs w:val="20"/>
                <w:shd w:val="clear" w:color="auto" w:fill="FFFFFF"/>
              </w:rPr>
              <w:t>6</w:t>
            </w:r>
          </w:p>
        </w:tc>
        <w:tc>
          <w:tcPr>
            <w:tcW w:w="0" w:type="auto"/>
            <w:hideMark/>
          </w:tcPr>
          <w:p w14:paraId="5CA3864E" w14:textId="77777777"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Nouveau mandat validé</w:t>
            </w:r>
          </w:p>
        </w:tc>
        <w:tc>
          <w:tcPr>
            <w:tcW w:w="0" w:type="auto"/>
            <w:hideMark/>
          </w:tcPr>
          <w:p w14:paraId="086438EE" w14:textId="77777777" w:rsidR="006E7EB6" w:rsidRPr="00A118F3" w:rsidRDefault="006E7EB6"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Mandat non aligné avec la stratégie de divulgation</w:t>
            </w:r>
          </w:p>
        </w:tc>
      </w:tr>
      <w:tr w:rsidR="00F137C8" w:rsidRPr="00A118F3" w14:paraId="711568B7" w14:textId="77777777" w:rsidTr="0035216B">
        <w:tc>
          <w:tcPr>
            <w:tcW w:w="0" w:type="auto"/>
            <w:vMerge/>
            <w:hideMark/>
          </w:tcPr>
          <w:p w14:paraId="4F6CC2A2" w14:textId="77777777" w:rsidR="0035216B" w:rsidRPr="00A118F3" w:rsidRDefault="0035216B"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1A739573" w14:textId="585BD552"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Mise à niveau du portail SONAMINES pour exportation / désagrégation des données</w:t>
            </w:r>
          </w:p>
        </w:tc>
        <w:tc>
          <w:tcPr>
            <w:tcW w:w="0" w:type="auto"/>
            <w:hideMark/>
          </w:tcPr>
          <w:p w14:paraId="5F391306" w14:textId="4566AB13"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SONAMINES</w:t>
            </w:r>
          </w:p>
        </w:tc>
        <w:tc>
          <w:tcPr>
            <w:tcW w:w="0" w:type="auto"/>
            <w:hideMark/>
          </w:tcPr>
          <w:p w14:paraId="2B9BBA80" w14:textId="238BB30B"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MINMIDT, </w:t>
            </w:r>
            <w:r>
              <w:rPr>
                <w:rFonts w:ascii="Kohinoor Devanagari" w:hAnsi="Kohinoor Devanagari" w:cs="Kohinoor Devanagari"/>
                <w:sz w:val="20"/>
                <w:szCs w:val="20"/>
                <w:shd w:val="clear" w:color="auto" w:fill="FFFFFF"/>
              </w:rPr>
              <w:t>COMITÉ-ITIE</w:t>
            </w:r>
          </w:p>
        </w:tc>
        <w:tc>
          <w:tcPr>
            <w:tcW w:w="0" w:type="auto"/>
            <w:hideMark/>
          </w:tcPr>
          <w:p w14:paraId="104E9ADE" w14:textId="2A140B9D"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T2 2026</w:t>
            </w:r>
          </w:p>
        </w:tc>
        <w:tc>
          <w:tcPr>
            <w:tcW w:w="0" w:type="auto"/>
            <w:hideMark/>
          </w:tcPr>
          <w:p w14:paraId="3297EC60" w14:textId="64A41288"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Portail fonctionnel et interopérable</w:t>
            </w:r>
          </w:p>
        </w:tc>
        <w:tc>
          <w:tcPr>
            <w:tcW w:w="0" w:type="auto"/>
            <w:hideMark/>
          </w:tcPr>
          <w:p w14:paraId="0953DB6C" w14:textId="7E705538"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Données minières peu exploitables en ligne</w:t>
            </w:r>
          </w:p>
        </w:tc>
      </w:tr>
      <w:tr w:rsidR="00F137C8" w:rsidRPr="00A118F3" w14:paraId="6E1406C7" w14:textId="77777777" w:rsidTr="0035216B">
        <w:tc>
          <w:tcPr>
            <w:tcW w:w="0" w:type="auto"/>
            <w:vMerge/>
            <w:hideMark/>
          </w:tcPr>
          <w:p w14:paraId="5D5F344F" w14:textId="77777777" w:rsidR="0035216B" w:rsidRPr="00A118F3" w:rsidRDefault="0035216B" w:rsidP="0093383F">
            <w:pPr>
              <w:spacing w:before="40" w:after="40"/>
              <w:jc w:val="both"/>
              <w:rPr>
                <w:rFonts w:ascii="Kohinoor Devanagari" w:hAnsi="Kohinoor Devanagari" w:cs="Kohinoor Devanagari"/>
                <w:sz w:val="20"/>
                <w:szCs w:val="20"/>
                <w:shd w:val="clear" w:color="auto" w:fill="FFFFFF"/>
              </w:rPr>
            </w:pPr>
          </w:p>
        </w:tc>
        <w:tc>
          <w:tcPr>
            <w:tcW w:w="0" w:type="auto"/>
            <w:hideMark/>
          </w:tcPr>
          <w:p w14:paraId="2866900B" w14:textId="3FE94FA4"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Plan de formation pour administrations, SNH, SONAMINES, CTD, OSC, MINEPDED</w:t>
            </w:r>
          </w:p>
        </w:tc>
        <w:tc>
          <w:tcPr>
            <w:tcW w:w="0" w:type="auto"/>
            <w:hideMark/>
          </w:tcPr>
          <w:p w14:paraId="01B0CB91" w14:textId="61EA371F"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p>
        </w:tc>
        <w:tc>
          <w:tcPr>
            <w:tcW w:w="0" w:type="auto"/>
            <w:hideMark/>
          </w:tcPr>
          <w:p w14:paraId="767E3DC8" w14:textId="2D164840" w:rsidR="0035216B" w:rsidRPr="00A118F3" w:rsidRDefault="00F137C8"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OSC, Partenaires techniques , Consultants</w:t>
            </w:r>
          </w:p>
        </w:tc>
        <w:tc>
          <w:tcPr>
            <w:tcW w:w="0" w:type="auto"/>
            <w:hideMark/>
          </w:tcPr>
          <w:p w14:paraId="64152621" w14:textId="5ADAE4BD" w:rsidR="0035216B" w:rsidRPr="00A118F3" w:rsidRDefault="009834A7" w:rsidP="009834A7">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 xml:space="preserve">T </w:t>
            </w:r>
            <w:r w:rsidR="008374EF">
              <w:rPr>
                <w:rFonts w:ascii="Kohinoor Devanagari" w:hAnsi="Kohinoor Devanagari" w:cs="Kohinoor Devanagari"/>
                <w:sz w:val="20"/>
                <w:szCs w:val="20"/>
                <w:shd w:val="clear" w:color="auto" w:fill="FFFFFF"/>
              </w:rPr>
              <w:t xml:space="preserve">1 </w:t>
            </w:r>
            <w:r w:rsidR="0035216B" w:rsidRPr="00A118F3">
              <w:rPr>
                <w:rFonts w:ascii="Kohinoor Devanagari" w:hAnsi="Kohinoor Devanagari" w:cs="Kohinoor Devanagari"/>
                <w:sz w:val="20"/>
                <w:szCs w:val="20"/>
                <w:shd w:val="clear" w:color="auto" w:fill="FFFFFF"/>
              </w:rPr>
              <w:t>202</w:t>
            </w:r>
            <w:r w:rsidR="008374EF">
              <w:rPr>
                <w:rFonts w:ascii="Kohinoor Devanagari" w:hAnsi="Kohinoor Devanagari" w:cs="Kohinoor Devanagari"/>
                <w:sz w:val="20"/>
                <w:szCs w:val="20"/>
                <w:shd w:val="clear" w:color="auto" w:fill="FFFFFF"/>
              </w:rPr>
              <w:t>6</w:t>
            </w:r>
          </w:p>
        </w:tc>
        <w:tc>
          <w:tcPr>
            <w:tcW w:w="0" w:type="auto"/>
            <w:hideMark/>
          </w:tcPr>
          <w:p w14:paraId="1A64B64D" w14:textId="7886D615"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Taux de couverture par acteur</w:t>
            </w:r>
          </w:p>
        </w:tc>
        <w:tc>
          <w:tcPr>
            <w:tcW w:w="0" w:type="auto"/>
            <w:hideMark/>
          </w:tcPr>
          <w:p w14:paraId="24B27A8C" w14:textId="2A33D8DB"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Compétences techniques faibles</w:t>
            </w:r>
          </w:p>
        </w:tc>
      </w:tr>
      <w:tr w:rsidR="00F137C8" w:rsidRPr="00A118F3" w14:paraId="7A46442E" w14:textId="77777777" w:rsidTr="0035216B">
        <w:tc>
          <w:tcPr>
            <w:tcW w:w="0" w:type="auto"/>
            <w:hideMark/>
          </w:tcPr>
          <w:p w14:paraId="1154E9CC" w14:textId="77777777"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t>Capacités &amp; accompagnement</w:t>
            </w:r>
          </w:p>
        </w:tc>
        <w:tc>
          <w:tcPr>
            <w:tcW w:w="0" w:type="auto"/>
            <w:hideMark/>
          </w:tcPr>
          <w:p w14:paraId="0199E100" w14:textId="51678711"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Mise en ligne d’un portail open data avec visualisations dynamiques</w:t>
            </w:r>
          </w:p>
        </w:tc>
        <w:tc>
          <w:tcPr>
            <w:tcW w:w="0" w:type="auto"/>
            <w:hideMark/>
          </w:tcPr>
          <w:p w14:paraId="07595EB9" w14:textId="4916EB23"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p>
        </w:tc>
        <w:tc>
          <w:tcPr>
            <w:tcW w:w="0" w:type="auto"/>
            <w:hideMark/>
          </w:tcPr>
          <w:p w14:paraId="0A9388A6" w14:textId="2C72AFBB" w:rsidR="0035216B" w:rsidRPr="00A118F3" w:rsidRDefault="00920BD7" w:rsidP="0093383F">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OSC</w:t>
            </w:r>
          </w:p>
        </w:tc>
        <w:tc>
          <w:tcPr>
            <w:tcW w:w="0" w:type="auto"/>
            <w:hideMark/>
          </w:tcPr>
          <w:p w14:paraId="58EDF213" w14:textId="25715646"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920BD7">
              <w:rPr>
                <w:rFonts w:ascii="Kohinoor Devanagari" w:hAnsi="Kohinoor Devanagari" w:cs="Kohinoor Devanagari"/>
                <w:sz w:val="20"/>
                <w:szCs w:val="20"/>
                <w:shd w:val="clear" w:color="auto" w:fill="FFFFFF"/>
              </w:rPr>
              <w:t>3</w:t>
            </w:r>
            <w:r w:rsidR="008374EF">
              <w:rPr>
                <w:rFonts w:ascii="Kohinoor Devanagari" w:hAnsi="Kohinoor Devanagari" w:cs="Kohinoor Devanagari"/>
                <w:sz w:val="20"/>
                <w:szCs w:val="20"/>
                <w:shd w:val="clear" w:color="auto" w:fill="FFFFFF"/>
              </w:rPr>
              <w:t>-4</w:t>
            </w:r>
            <w:r w:rsidRPr="00A118F3">
              <w:rPr>
                <w:rFonts w:ascii="Kohinoor Devanagari" w:hAnsi="Kohinoor Devanagari" w:cs="Kohinoor Devanagari"/>
                <w:sz w:val="20"/>
                <w:szCs w:val="20"/>
                <w:shd w:val="clear" w:color="auto" w:fill="FFFFFF"/>
              </w:rPr>
              <w:t xml:space="preserve"> 202</w:t>
            </w:r>
            <w:r w:rsidR="00920BD7">
              <w:rPr>
                <w:rFonts w:ascii="Kohinoor Devanagari" w:hAnsi="Kohinoor Devanagari" w:cs="Kohinoor Devanagari"/>
                <w:sz w:val="20"/>
                <w:szCs w:val="20"/>
                <w:shd w:val="clear" w:color="auto" w:fill="FFFFFF"/>
              </w:rPr>
              <w:t>6</w:t>
            </w:r>
          </w:p>
        </w:tc>
        <w:tc>
          <w:tcPr>
            <w:tcW w:w="0" w:type="auto"/>
            <w:hideMark/>
          </w:tcPr>
          <w:p w14:paraId="3B6CBA14" w14:textId="59B26309"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 xml:space="preserve">Nombre de </w:t>
            </w:r>
            <w:proofErr w:type="spellStart"/>
            <w:r w:rsidRPr="00A118F3">
              <w:rPr>
                <w:rFonts w:ascii="Kohinoor Devanagari" w:hAnsi="Kohinoor Devanagari" w:cs="Kohinoor Devanagari"/>
                <w:sz w:val="20"/>
                <w:szCs w:val="20"/>
                <w:shd w:val="clear" w:color="auto" w:fill="FFFFFF"/>
              </w:rPr>
              <w:t>datasets</w:t>
            </w:r>
            <w:proofErr w:type="spellEnd"/>
            <w:r w:rsidRPr="00A118F3">
              <w:rPr>
                <w:rFonts w:ascii="Kohinoor Devanagari" w:hAnsi="Kohinoor Devanagari" w:cs="Kohinoor Devanagari"/>
                <w:sz w:val="20"/>
                <w:szCs w:val="20"/>
                <w:shd w:val="clear" w:color="auto" w:fill="FFFFFF"/>
              </w:rPr>
              <w:t xml:space="preserve"> ouverts / téléchargés</w:t>
            </w:r>
          </w:p>
        </w:tc>
        <w:tc>
          <w:tcPr>
            <w:tcW w:w="0" w:type="auto"/>
            <w:hideMark/>
          </w:tcPr>
          <w:p w14:paraId="552B541A" w14:textId="0BC9599E" w:rsidR="0035216B" w:rsidRPr="00A118F3" w:rsidRDefault="0035216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Faible usage public des données</w:t>
            </w:r>
          </w:p>
        </w:tc>
      </w:tr>
      <w:tr w:rsidR="00563DEB" w:rsidRPr="00A118F3" w14:paraId="2FD06460" w14:textId="77777777" w:rsidTr="00E81C38">
        <w:trPr>
          <w:trHeight w:val="1514"/>
        </w:trPr>
        <w:tc>
          <w:tcPr>
            <w:tcW w:w="0" w:type="auto"/>
            <w:hideMark/>
          </w:tcPr>
          <w:p w14:paraId="74B297A3" w14:textId="77777777"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t>Réutilisation &amp; impact citoyen</w:t>
            </w:r>
          </w:p>
        </w:tc>
        <w:tc>
          <w:tcPr>
            <w:tcW w:w="0" w:type="auto"/>
            <w:hideMark/>
          </w:tcPr>
          <w:p w14:paraId="02703D08" w14:textId="2DE1137F"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Organisation de hackathons et ateliers de réutilisation</w:t>
            </w:r>
          </w:p>
        </w:tc>
        <w:tc>
          <w:tcPr>
            <w:tcW w:w="0" w:type="auto"/>
            <w:hideMark/>
          </w:tcPr>
          <w:p w14:paraId="26E21647" w14:textId="0A8AE2EF"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p>
        </w:tc>
        <w:tc>
          <w:tcPr>
            <w:tcW w:w="0" w:type="auto"/>
            <w:hideMark/>
          </w:tcPr>
          <w:p w14:paraId="4A7D6861" w14:textId="1C894968"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OSC, collectifs médias locaux</w:t>
            </w:r>
          </w:p>
        </w:tc>
        <w:tc>
          <w:tcPr>
            <w:tcW w:w="0" w:type="auto"/>
            <w:hideMark/>
          </w:tcPr>
          <w:p w14:paraId="481A1FC3" w14:textId="4C351931"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w:t>
            </w:r>
            <w:r w:rsidR="008374EF">
              <w:rPr>
                <w:rFonts w:ascii="Kohinoor Devanagari" w:hAnsi="Kohinoor Devanagari" w:cs="Kohinoor Devanagari"/>
                <w:sz w:val="20"/>
                <w:szCs w:val="20"/>
                <w:shd w:val="clear" w:color="auto" w:fill="FFFFFF"/>
              </w:rPr>
              <w:t>1</w:t>
            </w:r>
            <w:r w:rsidRPr="00A118F3">
              <w:rPr>
                <w:rFonts w:ascii="Kohinoor Devanagari" w:hAnsi="Kohinoor Devanagari" w:cs="Kohinoor Devanagari"/>
                <w:sz w:val="20"/>
                <w:szCs w:val="20"/>
                <w:shd w:val="clear" w:color="auto" w:fill="FFFFFF"/>
              </w:rPr>
              <w:t xml:space="preserve"> 202</w:t>
            </w:r>
            <w:r w:rsidR="008374EF">
              <w:rPr>
                <w:rFonts w:ascii="Kohinoor Devanagari" w:hAnsi="Kohinoor Devanagari" w:cs="Kohinoor Devanagari"/>
                <w:sz w:val="20"/>
                <w:szCs w:val="20"/>
                <w:shd w:val="clear" w:color="auto" w:fill="FFFFFF"/>
              </w:rPr>
              <w:t>7</w:t>
            </w:r>
          </w:p>
        </w:tc>
        <w:tc>
          <w:tcPr>
            <w:tcW w:w="0" w:type="auto"/>
            <w:hideMark/>
          </w:tcPr>
          <w:p w14:paraId="2D416378" w14:textId="74FD5FE7"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Nombre d’initiatives ou réutilisations</w:t>
            </w:r>
          </w:p>
        </w:tc>
        <w:tc>
          <w:tcPr>
            <w:tcW w:w="0" w:type="auto"/>
            <w:hideMark/>
          </w:tcPr>
          <w:p w14:paraId="4091AE16" w14:textId="539A6569" w:rsidR="00563DEB" w:rsidRPr="00A118F3" w:rsidRDefault="00563DEB" w:rsidP="0093383F">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Données peu valorisées / pas d’innovation locale</w:t>
            </w:r>
          </w:p>
        </w:tc>
      </w:tr>
      <w:tr w:rsidR="00563DEB" w:rsidRPr="00A118F3" w14:paraId="34F4B128" w14:textId="77777777" w:rsidTr="0035216B">
        <w:tc>
          <w:tcPr>
            <w:tcW w:w="0" w:type="auto"/>
            <w:hideMark/>
          </w:tcPr>
          <w:p w14:paraId="04F637B1" w14:textId="77777777"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b/>
                <w:bCs/>
                <w:sz w:val="20"/>
                <w:szCs w:val="20"/>
                <w:shd w:val="clear" w:color="auto" w:fill="FFFFFF"/>
              </w:rPr>
              <w:lastRenderedPageBreak/>
              <w:t>Suivi, évaluation &amp; gouvernance</w:t>
            </w:r>
          </w:p>
        </w:tc>
        <w:tc>
          <w:tcPr>
            <w:tcW w:w="0" w:type="auto"/>
          </w:tcPr>
          <w:p w14:paraId="74C3475B" w14:textId="1823F549"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Mise en place d’un mécanisme de suivi-évaluation (indicateurs, tableaux de bord)</w:t>
            </w:r>
          </w:p>
        </w:tc>
        <w:tc>
          <w:tcPr>
            <w:tcW w:w="0" w:type="auto"/>
          </w:tcPr>
          <w:p w14:paraId="029567E5" w14:textId="7576A8A3"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Comité</w:t>
            </w:r>
            <w:r>
              <w:rPr>
                <w:rFonts w:ascii="Kohinoor Devanagari" w:hAnsi="Kohinoor Devanagari" w:cs="Kohinoor Devanagari"/>
                <w:sz w:val="20"/>
                <w:szCs w:val="20"/>
                <w:shd w:val="clear" w:color="auto" w:fill="FFFFFF"/>
              </w:rPr>
              <w:t xml:space="preserve"> -ITIE</w:t>
            </w:r>
          </w:p>
        </w:tc>
        <w:tc>
          <w:tcPr>
            <w:tcW w:w="0" w:type="auto"/>
          </w:tcPr>
          <w:p w14:paraId="38BF7D28" w14:textId="64307364"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Pr>
                <w:rFonts w:ascii="Kohinoor Devanagari" w:hAnsi="Kohinoor Devanagari" w:cs="Kohinoor Devanagari"/>
                <w:sz w:val="20"/>
                <w:szCs w:val="20"/>
                <w:shd w:val="clear" w:color="auto" w:fill="FFFFFF"/>
              </w:rPr>
              <w:t>MINFI, MINMIDT, MINEPDED</w:t>
            </w:r>
          </w:p>
        </w:tc>
        <w:tc>
          <w:tcPr>
            <w:tcW w:w="0" w:type="auto"/>
          </w:tcPr>
          <w:p w14:paraId="25312D85" w14:textId="31C7BF09"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T1 2026</w:t>
            </w:r>
          </w:p>
        </w:tc>
        <w:tc>
          <w:tcPr>
            <w:tcW w:w="0" w:type="auto"/>
          </w:tcPr>
          <w:p w14:paraId="6AAC0475" w14:textId="56F891D6"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Rapports de suivi trimestriels</w:t>
            </w:r>
          </w:p>
        </w:tc>
        <w:tc>
          <w:tcPr>
            <w:tcW w:w="0" w:type="auto"/>
          </w:tcPr>
          <w:p w14:paraId="6433DEBC" w14:textId="18FFA938" w:rsidR="00563DEB" w:rsidRPr="00A118F3" w:rsidRDefault="00563DEB" w:rsidP="00563DEB">
            <w:pPr>
              <w:spacing w:before="40" w:after="40"/>
              <w:jc w:val="both"/>
              <w:rPr>
                <w:rFonts w:ascii="Kohinoor Devanagari" w:hAnsi="Kohinoor Devanagari" w:cs="Kohinoor Devanagari"/>
                <w:sz w:val="20"/>
                <w:szCs w:val="20"/>
                <w:shd w:val="clear" w:color="auto" w:fill="FFFFFF"/>
              </w:rPr>
            </w:pPr>
            <w:r w:rsidRPr="00A118F3">
              <w:rPr>
                <w:rFonts w:ascii="Kohinoor Devanagari" w:hAnsi="Kohinoor Devanagari" w:cs="Kohinoor Devanagari"/>
                <w:sz w:val="20"/>
                <w:szCs w:val="20"/>
                <w:shd w:val="clear" w:color="auto" w:fill="FFFFFF"/>
              </w:rPr>
              <w:t>Absence de pilotage et de métriques de performance</w:t>
            </w:r>
          </w:p>
        </w:tc>
      </w:tr>
    </w:tbl>
    <w:p w14:paraId="145746FB" w14:textId="77777777" w:rsidR="005B24E8" w:rsidRDefault="005B24E8" w:rsidP="005B24E8">
      <w:pPr>
        <w:spacing w:before="120" w:after="120" w:line="240" w:lineRule="auto"/>
        <w:jc w:val="both"/>
        <w:rPr>
          <w:rFonts w:ascii="Kohinoor Devanagari" w:hAnsi="Kohinoor Devanagari" w:cs="Kohinoor Devanagari"/>
          <w:sz w:val="20"/>
          <w:szCs w:val="20"/>
          <w:shd w:val="clear" w:color="auto" w:fill="FFFFFF"/>
        </w:rPr>
      </w:pPr>
    </w:p>
    <w:p w14:paraId="331F21EC" w14:textId="77777777" w:rsidR="003D567B" w:rsidRDefault="003D567B" w:rsidP="005B24E8">
      <w:pPr>
        <w:spacing w:before="120" w:after="120" w:line="240" w:lineRule="auto"/>
        <w:rPr>
          <w:rFonts w:ascii="Kohinoor Devanagari" w:hAnsi="Kohinoor Devanagari" w:cs="Kohinoor Devanagari"/>
          <w:sz w:val="20"/>
          <w:szCs w:val="20"/>
          <w:shd w:val="clear" w:color="auto" w:fill="FFFFFF"/>
        </w:rPr>
      </w:pPr>
    </w:p>
    <w:p w14:paraId="5DBF09B1" w14:textId="77777777" w:rsidR="003D567B" w:rsidRDefault="003D567B">
      <w:pPr>
        <w:rPr>
          <w:rFonts w:ascii="Kohinoor Devanagari" w:hAnsi="Kohinoor Devanagari" w:cs="Kohinoor Devanagari"/>
          <w:sz w:val="20"/>
          <w:szCs w:val="20"/>
          <w:shd w:val="clear" w:color="auto" w:fill="FFFFFF"/>
        </w:rPr>
      </w:pPr>
    </w:p>
    <w:p w14:paraId="7D03A3C2" w14:textId="77777777" w:rsidR="003D567B" w:rsidRDefault="003D567B">
      <w:pPr>
        <w:rPr>
          <w:rFonts w:ascii="Kohinoor Devanagari" w:hAnsi="Kohinoor Devanagari" w:cs="Kohinoor Devanagari"/>
          <w:sz w:val="20"/>
          <w:szCs w:val="20"/>
          <w:shd w:val="clear" w:color="auto" w:fill="FFFFFF"/>
        </w:rPr>
        <w:sectPr w:rsidR="003D567B" w:rsidSect="007D6CE6">
          <w:pgSz w:w="16840" w:h="11900" w:orient="landscape"/>
          <w:pgMar w:top="1418" w:right="1418" w:bottom="1134" w:left="1418" w:header="567" w:footer="567" w:gutter="0"/>
          <w:cols w:space="708"/>
          <w:docGrid w:linePitch="360"/>
        </w:sectPr>
      </w:pPr>
    </w:p>
    <w:p w14:paraId="418139BC" w14:textId="77777777" w:rsidR="00F60780" w:rsidRDefault="00F60780">
      <w:pPr>
        <w:rPr>
          <w:rFonts w:ascii="Kohinoor Devanagari" w:hAnsi="Kohinoor Devanagari" w:cs="Kohinoor Devanagari"/>
          <w:sz w:val="20"/>
          <w:szCs w:val="20"/>
          <w:shd w:val="clear" w:color="auto" w:fill="FFFFFF"/>
        </w:rPr>
      </w:pPr>
    </w:p>
    <w:p w14:paraId="554A914E" w14:textId="1DB20EB8" w:rsidR="00450C82" w:rsidRPr="009B3188" w:rsidRDefault="00E019D7" w:rsidP="008374EF">
      <w:pPr>
        <w:pStyle w:val="Titre1"/>
        <w:numPr>
          <w:ilvl w:val="0"/>
          <w:numId w:val="9"/>
        </w:numPr>
        <w:shd w:val="clear" w:color="auto" w:fill="61BC4D"/>
        <w:spacing w:before="0" w:line="240" w:lineRule="auto"/>
        <w:ind w:left="357" w:hanging="357"/>
        <w:rPr>
          <w:rFonts w:ascii="Kohinoor Devanagari" w:hAnsi="Kohinoor Devanagari" w:cs="Kohinoor Devanagari"/>
          <w:b/>
          <w:bCs/>
          <w:color w:val="FFFFFF" w:themeColor="background1"/>
          <w:sz w:val="26"/>
          <w:szCs w:val="26"/>
        </w:rPr>
      </w:pPr>
      <w:bookmarkStart w:id="50" w:name="_Toc166770201"/>
      <w:bookmarkStart w:id="51" w:name="_Toc166771517"/>
      <w:bookmarkStart w:id="52" w:name="_Toc204691637"/>
      <w:bookmarkEnd w:id="50"/>
      <w:bookmarkEnd w:id="51"/>
      <w:r w:rsidRPr="009B3188">
        <w:rPr>
          <w:rFonts w:ascii="Kohinoor Devanagari" w:hAnsi="Kohinoor Devanagari" w:cs="Kohinoor Devanagari"/>
          <w:b/>
          <w:bCs/>
          <w:color w:val="FFFFFF" w:themeColor="background1"/>
          <w:sz w:val="26"/>
          <w:szCs w:val="26"/>
        </w:rPr>
        <w:t>Annexes</w:t>
      </w:r>
      <w:bookmarkEnd w:id="52"/>
    </w:p>
    <w:p w14:paraId="6756DC22" w14:textId="26A393FF" w:rsidR="008D2245" w:rsidRPr="009B3188" w:rsidRDefault="003D3DAF" w:rsidP="003D3DAF">
      <w:pPr>
        <w:pStyle w:val="Titre2"/>
        <w:spacing w:before="120" w:after="120"/>
        <w:rPr>
          <w:rFonts w:ascii="Kohinoor Devanagari" w:hAnsi="Kohinoor Devanagari" w:cs="Kohinoor Devanagari"/>
          <w:b/>
          <w:bCs/>
          <w:sz w:val="22"/>
          <w:szCs w:val="22"/>
          <w:lang w:eastAsia="fr-FR"/>
        </w:rPr>
      </w:pPr>
      <w:bookmarkStart w:id="53" w:name="_Toc204691638"/>
      <w:r>
        <w:rPr>
          <w:rFonts w:ascii="Kohinoor Devanagari" w:eastAsia="Times New Roman" w:hAnsi="Kohinoor Devanagari" w:cs="Kohinoor Devanagari"/>
          <w:b/>
          <w:bCs/>
          <w:color w:val="0D0D0D"/>
          <w:kern w:val="0"/>
          <w:sz w:val="22"/>
          <w:szCs w:val="22"/>
          <w:lang w:eastAsia="fr-FR"/>
          <w14:ligatures w14:val="none"/>
        </w:rPr>
        <w:t xml:space="preserve">9.1. </w:t>
      </w:r>
      <w:r w:rsidR="006A5E40" w:rsidRPr="009B3188">
        <w:rPr>
          <w:rFonts w:ascii="Kohinoor Devanagari" w:eastAsia="Times New Roman" w:hAnsi="Kohinoor Devanagari" w:cs="Kohinoor Devanagari"/>
          <w:b/>
          <w:bCs/>
          <w:color w:val="0D0D0D"/>
          <w:kern w:val="0"/>
          <w:sz w:val="22"/>
          <w:szCs w:val="22"/>
          <w:lang w:eastAsia="fr-FR"/>
          <w14:ligatures w14:val="none"/>
        </w:rPr>
        <w:t xml:space="preserve">Questionnaire de consultation </w:t>
      </w:r>
      <w:r w:rsidR="00EC7F28" w:rsidRPr="009B3188">
        <w:rPr>
          <w:rFonts w:ascii="Kohinoor Devanagari" w:eastAsia="Times New Roman" w:hAnsi="Kohinoor Devanagari" w:cs="Kohinoor Devanagari"/>
          <w:b/>
          <w:bCs/>
          <w:color w:val="0D0D0D"/>
          <w:kern w:val="0"/>
          <w:sz w:val="22"/>
          <w:szCs w:val="22"/>
          <w:lang w:eastAsia="fr-FR"/>
          <w14:ligatures w14:val="none"/>
        </w:rPr>
        <w:t>des entités fournisseurs de données</w:t>
      </w:r>
      <w:bookmarkEnd w:id="53"/>
    </w:p>
    <w:p w14:paraId="158F9A99" w14:textId="77777777" w:rsidR="00EC7F28" w:rsidRPr="009B3188" w:rsidRDefault="00EC7F28" w:rsidP="00EC7F28">
      <w:pPr>
        <w:rPr>
          <w:rFonts w:ascii="Kohinoor Devanagari" w:hAnsi="Kohinoor Devanagari" w:cs="Kohinoor Devanagari"/>
          <w:b/>
          <w:bCs/>
          <w:i/>
          <w:iCs/>
          <w:color w:val="000000" w:themeColor="text1"/>
          <w:highlight w:val="red"/>
        </w:rPr>
      </w:pPr>
    </w:p>
    <w:p w14:paraId="412AA770"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312CEB6C" wp14:editId="52BBBB73">
            <wp:extent cx="5314571" cy="2391252"/>
            <wp:effectExtent l="0" t="0" r="635" b="9525"/>
            <wp:docPr id="829728673" name="Image 25" descr="Une image contenant texte, capture d’écran, cercl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728673" name="Image 25" descr="Une image contenant texte, capture d’écran, cercle, Police&#10;&#10;Le contenu généré par l’IA peut être incorrect."/>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314571" cy="2391252"/>
                    </a:xfrm>
                    <a:prstGeom prst="rect">
                      <a:avLst/>
                    </a:prstGeom>
                    <a:noFill/>
                    <a:ln>
                      <a:noFill/>
                    </a:ln>
                  </pic:spPr>
                </pic:pic>
              </a:graphicData>
            </a:graphic>
          </wp:inline>
        </w:drawing>
      </w:r>
    </w:p>
    <w:p w14:paraId="1C6654F2"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5E8494C5" wp14:editId="0712FF9A">
            <wp:extent cx="4794722" cy="2262802"/>
            <wp:effectExtent l="0" t="0" r="6350" b="4445"/>
            <wp:docPr id="1764371200" name="Image 26" descr="Une image contenant texte, capture d’écran, lign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71200" name="Image 26" descr="Une image contenant texte, capture d’écran, ligne, Police&#10;&#10;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794722" cy="2262802"/>
                    </a:xfrm>
                    <a:prstGeom prst="rect">
                      <a:avLst/>
                    </a:prstGeom>
                    <a:noFill/>
                    <a:ln>
                      <a:noFill/>
                    </a:ln>
                  </pic:spPr>
                </pic:pic>
              </a:graphicData>
            </a:graphic>
          </wp:inline>
        </w:drawing>
      </w:r>
    </w:p>
    <w:p w14:paraId="1CD598EA"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4BA5C886" wp14:editId="7EE45BBB">
            <wp:extent cx="5524083" cy="2302749"/>
            <wp:effectExtent l="0" t="0" r="635" b="2540"/>
            <wp:docPr id="1271400688" name="Image 27"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00688" name="Image 27" descr="Une image contenant texte, capture d’écran, diagramme, Police&#10;&#10;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524083" cy="2302749"/>
                    </a:xfrm>
                    <a:prstGeom prst="rect">
                      <a:avLst/>
                    </a:prstGeom>
                    <a:noFill/>
                    <a:ln>
                      <a:noFill/>
                    </a:ln>
                  </pic:spPr>
                </pic:pic>
              </a:graphicData>
            </a:graphic>
          </wp:inline>
        </w:drawing>
      </w:r>
    </w:p>
    <w:p w14:paraId="49580A0C"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lastRenderedPageBreak/>
        <w:drawing>
          <wp:inline distT="0" distB="0" distL="0" distR="0" wp14:anchorId="5C59D12F" wp14:editId="19A01C42">
            <wp:extent cx="5303617" cy="2370602"/>
            <wp:effectExtent l="0" t="0" r="0" b="0"/>
            <wp:docPr id="1324325997" name="Image 29"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25997" name="Image 29" descr="Une image contenant texte, capture d’écran, Police, diagramme&#10;&#10;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303617" cy="2370602"/>
                    </a:xfrm>
                    <a:prstGeom prst="rect">
                      <a:avLst/>
                    </a:prstGeom>
                    <a:noFill/>
                    <a:ln>
                      <a:noFill/>
                    </a:ln>
                  </pic:spPr>
                </pic:pic>
              </a:graphicData>
            </a:graphic>
          </wp:inline>
        </w:drawing>
      </w:r>
    </w:p>
    <w:p w14:paraId="51863B4F"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281C1846" wp14:editId="2E68C541">
            <wp:extent cx="5355355" cy="2518365"/>
            <wp:effectExtent l="0" t="0" r="0" b="0"/>
            <wp:docPr id="1196247709" name="Image 28" descr="Une image contenant texte, capture d’écran, lign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47709" name="Image 28" descr="Une image contenant texte, capture d’écran, ligne, Police&#10;&#10;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355355" cy="2518365"/>
                    </a:xfrm>
                    <a:prstGeom prst="rect">
                      <a:avLst/>
                    </a:prstGeom>
                    <a:noFill/>
                    <a:ln>
                      <a:noFill/>
                    </a:ln>
                  </pic:spPr>
                </pic:pic>
              </a:graphicData>
            </a:graphic>
          </wp:inline>
        </w:drawing>
      </w:r>
    </w:p>
    <w:p w14:paraId="259E3472"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0AA7B9BF" wp14:editId="046407B6">
            <wp:extent cx="5489524" cy="2459306"/>
            <wp:effectExtent l="0" t="0" r="0" b="0"/>
            <wp:docPr id="1258664253" name="Image 30"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4253" name="Image 30" descr="Une image contenant texte, capture d’écran, Police, diagramme&#10;&#10;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489524" cy="2459306"/>
                    </a:xfrm>
                    <a:prstGeom prst="rect">
                      <a:avLst/>
                    </a:prstGeom>
                    <a:noFill/>
                    <a:ln>
                      <a:noFill/>
                    </a:ln>
                  </pic:spPr>
                </pic:pic>
              </a:graphicData>
            </a:graphic>
          </wp:inline>
        </w:drawing>
      </w:r>
    </w:p>
    <w:p w14:paraId="414EBEB9" w14:textId="77777777" w:rsidR="00EC7F28" w:rsidRPr="009B3188" w:rsidRDefault="00EC7F28" w:rsidP="00EC7F28">
      <w:pPr>
        <w:jc w:val="center"/>
        <w:rPr>
          <w:rFonts w:ascii="Kohinoor Devanagari" w:hAnsi="Kohinoor Devanagari" w:cs="Kohinoor Devanagari"/>
          <w:color w:val="000000" w:themeColor="text1"/>
        </w:rPr>
      </w:pPr>
      <w:r w:rsidRPr="009B3188">
        <w:rPr>
          <w:rFonts w:ascii="Kohinoor Devanagari" w:hAnsi="Kohinoor Devanagari" w:cs="Kohinoor Devanagari"/>
          <w:noProof/>
        </w:rPr>
        <w:lastRenderedPageBreak/>
        <w:drawing>
          <wp:inline distT="0" distB="0" distL="0" distR="0" wp14:anchorId="531DC0E8" wp14:editId="0C889455">
            <wp:extent cx="5179933" cy="2155845"/>
            <wp:effectExtent l="0" t="0" r="1905" b="0"/>
            <wp:docPr id="607213869" name="Image 31"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13869" name="Image 31" descr="Une image contenant texte, capture d’écran, diagramme, Police&#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179933" cy="2155845"/>
                    </a:xfrm>
                    <a:prstGeom prst="rect">
                      <a:avLst/>
                    </a:prstGeom>
                    <a:noFill/>
                    <a:ln>
                      <a:noFill/>
                    </a:ln>
                  </pic:spPr>
                </pic:pic>
              </a:graphicData>
            </a:graphic>
          </wp:inline>
        </w:drawing>
      </w:r>
    </w:p>
    <w:p w14:paraId="04F799B9" w14:textId="77777777" w:rsidR="00EC7F28" w:rsidRPr="009B3188" w:rsidRDefault="00EC7F28" w:rsidP="00EC7F28">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05862198" wp14:editId="6EAF31BB">
            <wp:extent cx="5760720" cy="2401393"/>
            <wp:effectExtent l="0" t="0" r="0" b="0"/>
            <wp:docPr id="2113700474" name="Image 32" descr="Une image contenant texte, capture d’écran, diagramm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0474" name="Image 32" descr="Une image contenant texte, capture d’écran, diagramme, logo&#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760720" cy="2401393"/>
                    </a:xfrm>
                    <a:prstGeom prst="rect">
                      <a:avLst/>
                    </a:prstGeom>
                    <a:noFill/>
                    <a:ln>
                      <a:noFill/>
                    </a:ln>
                  </pic:spPr>
                </pic:pic>
              </a:graphicData>
            </a:graphic>
          </wp:inline>
        </w:drawing>
      </w:r>
    </w:p>
    <w:p w14:paraId="29D111DE" w14:textId="77777777" w:rsidR="00EC7F28" w:rsidRPr="009B3188" w:rsidRDefault="00EC7F28" w:rsidP="00EC7F28">
      <w:pPr>
        <w:pStyle w:val="Paragraphedeliste"/>
        <w:jc w:val="center"/>
        <w:rPr>
          <w:rFonts w:ascii="Kohinoor Devanagari" w:hAnsi="Kohinoor Devanagari" w:cs="Kohinoor Devanagari"/>
        </w:rPr>
      </w:pPr>
      <w:r w:rsidRPr="009B3188">
        <w:rPr>
          <w:rFonts w:ascii="Kohinoor Devanagari" w:hAnsi="Kohinoor Devanagari" w:cs="Kohinoor Devanagari"/>
          <w:noProof/>
        </w:rPr>
        <w:lastRenderedPageBreak/>
        <w:drawing>
          <wp:inline distT="0" distB="0" distL="0" distR="0" wp14:anchorId="35FF02E8" wp14:editId="5213BD42">
            <wp:extent cx="5280657" cy="2367817"/>
            <wp:effectExtent l="0" t="0" r="0" b="0"/>
            <wp:docPr id="1099451980" name="Image 33"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51980" name="Image 33" descr="Une image contenant texte, capture d’écran, diagramme, Police&#10;&#10;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280657" cy="2367817"/>
                    </a:xfrm>
                    <a:prstGeom prst="rect">
                      <a:avLst/>
                    </a:prstGeom>
                    <a:noFill/>
                    <a:ln>
                      <a:noFill/>
                    </a:ln>
                  </pic:spPr>
                </pic:pic>
              </a:graphicData>
            </a:graphic>
          </wp:inline>
        </w:drawing>
      </w:r>
      <w:r w:rsidRPr="009B3188">
        <w:rPr>
          <w:rFonts w:ascii="Kohinoor Devanagari" w:hAnsi="Kohinoor Devanagari" w:cs="Kohinoor Devanagari"/>
          <w:noProof/>
        </w:rPr>
        <w:drawing>
          <wp:inline distT="0" distB="0" distL="0" distR="0" wp14:anchorId="34287313" wp14:editId="5A505D39">
            <wp:extent cx="5230267" cy="2180775"/>
            <wp:effectExtent l="0" t="0" r="8890" b="0"/>
            <wp:docPr id="1740501638" name="Image 34"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01638" name="Image 34" descr="Une image contenant texte, capture d’écran, diagramme, Police&#10;&#10;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230267" cy="2180775"/>
                    </a:xfrm>
                    <a:prstGeom prst="rect">
                      <a:avLst/>
                    </a:prstGeom>
                    <a:noFill/>
                    <a:ln>
                      <a:noFill/>
                    </a:ln>
                  </pic:spPr>
                </pic:pic>
              </a:graphicData>
            </a:graphic>
          </wp:inline>
        </w:drawing>
      </w:r>
    </w:p>
    <w:p w14:paraId="31276AA9" w14:textId="77777777" w:rsidR="00EC7F28" w:rsidRPr="009B3188" w:rsidRDefault="00EC7F28" w:rsidP="00EC7F28">
      <w:pPr>
        <w:rPr>
          <w:rFonts w:ascii="Kohinoor Devanagari" w:hAnsi="Kohinoor Devanagari" w:cs="Kohinoor Devanagari"/>
          <w:b/>
          <w:bCs/>
          <w:i/>
          <w:iCs/>
          <w:color w:val="000000" w:themeColor="text1"/>
          <w:highlight w:val="red"/>
        </w:rPr>
      </w:pPr>
    </w:p>
    <w:p w14:paraId="5033A7D1" w14:textId="77777777" w:rsidR="00EC7F28" w:rsidRPr="009B3188" w:rsidRDefault="00EC7F28" w:rsidP="00EC7F28">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5EA525B7" wp14:editId="58154226">
            <wp:extent cx="5760720" cy="2405792"/>
            <wp:effectExtent l="0" t="0" r="0" b="0"/>
            <wp:docPr id="2133888468" name="Image 35"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88468" name="Image 35" descr="Une image contenant texte, capture d’écran, Police, diagramme&#10;&#10;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760720" cy="2405792"/>
                    </a:xfrm>
                    <a:prstGeom prst="rect">
                      <a:avLst/>
                    </a:prstGeom>
                    <a:noFill/>
                    <a:ln>
                      <a:noFill/>
                    </a:ln>
                  </pic:spPr>
                </pic:pic>
              </a:graphicData>
            </a:graphic>
          </wp:inline>
        </w:drawing>
      </w:r>
    </w:p>
    <w:p w14:paraId="68B9CF45" w14:textId="77777777" w:rsidR="00EC7F28" w:rsidRPr="009B3188" w:rsidRDefault="00EC7F28" w:rsidP="00EC7F28">
      <w:pPr>
        <w:rPr>
          <w:rFonts w:ascii="Kohinoor Devanagari" w:hAnsi="Kohinoor Devanagari" w:cs="Kohinoor Devanagari"/>
          <w:color w:val="000000" w:themeColor="text1"/>
        </w:rPr>
      </w:pPr>
      <w:r w:rsidRPr="009B3188">
        <w:rPr>
          <w:rFonts w:ascii="Kohinoor Devanagari" w:hAnsi="Kohinoor Devanagari" w:cs="Kohinoor Devanagari"/>
          <w:noProof/>
        </w:rPr>
        <w:lastRenderedPageBreak/>
        <w:drawing>
          <wp:inline distT="0" distB="0" distL="0" distR="0" wp14:anchorId="4D60F0B2" wp14:editId="4297A1F7">
            <wp:extent cx="5760720" cy="1755271"/>
            <wp:effectExtent l="0" t="0" r="0" b="0"/>
            <wp:docPr id="857108986" name="Image 36" descr="Une image contenant ligne, texte, Tracé,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08986" name="Image 36" descr="Une image contenant ligne, texte, Tracé, diagramme&#10;&#10;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760720" cy="1755271"/>
                    </a:xfrm>
                    <a:prstGeom prst="rect">
                      <a:avLst/>
                    </a:prstGeom>
                    <a:noFill/>
                    <a:ln>
                      <a:noFill/>
                    </a:ln>
                  </pic:spPr>
                </pic:pic>
              </a:graphicData>
            </a:graphic>
          </wp:inline>
        </w:drawing>
      </w:r>
    </w:p>
    <w:p w14:paraId="400783B3" w14:textId="06AD0059" w:rsidR="00EC7F28" w:rsidRPr="009B3188" w:rsidRDefault="00EC7F28" w:rsidP="00D37ABF">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3C3E66E0" wp14:editId="6081C757">
            <wp:extent cx="5539876" cy="2785730"/>
            <wp:effectExtent l="0" t="0" r="3810" b="0"/>
            <wp:docPr id="1518917930" name="Image 37"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17930" name="Image 37" descr="Une image contenant texte, capture d’écran, Police, ligne&#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546414" cy="2789018"/>
                    </a:xfrm>
                    <a:prstGeom prst="rect">
                      <a:avLst/>
                    </a:prstGeom>
                    <a:noFill/>
                    <a:ln>
                      <a:noFill/>
                    </a:ln>
                  </pic:spPr>
                </pic:pic>
              </a:graphicData>
            </a:graphic>
          </wp:inline>
        </w:drawing>
      </w:r>
      <w:r w:rsidRPr="009B3188">
        <w:rPr>
          <w:rFonts w:ascii="Kohinoor Devanagari" w:hAnsi="Kohinoor Devanagari" w:cs="Kohinoor Devanagari"/>
          <w:noProof/>
        </w:rPr>
        <w:drawing>
          <wp:inline distT="0" distB="0" distL="0" distR="0" wp14:anchorId="54EF7DDF" wp14:editId="7BED6CF9">
            <wp:extent cx="5156789" cy="2498651"/>
            <wp:effectExtent l="0" t="0" r="6350" b="0"/>
            <wp:docPr id="668126706" name="Image 38"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26706" name="Image 38" descr="Une image contenant texte, capture d’écran, Police, ligne&#10;&#10;Le contenu généré par l’IA peut être incorrect."/>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5171650" cy="2505852"/>
                    </a:xfrm>
                    <a:prstGeom prst="rect">
                      <a:avLst/>
                    </a:prstGeom>
                    <a:noFill/>
                    <a:ln>
                      <a:noFill/>
                    </a:ln>
                  </pic:spPr>
                </pic:pic>
              </a:graphicData>
            </a:graphic>
          </wp:inline>
        </w:drawing>
      </w:r>
      <w:r w:rsidRPr="009B3188">
        <w:rPr>
          <w:rFonts w:ascii="Kohinoor Devanagari" w:hAnsi="Kohinoor Devanagari" w:cs="Kohinoor Devanagari"/>
          <w:noProof/>
        </w:rPr>
        <w:lastRenderedPageBreak/>
        <w:drawing>
          <wp:inline distT="0" distB="0" distL="0" distR="0" wp14:anchorId="1B077A23" wp14:editId="08E558A7">
            <wp:extent cx="5362956" cy="2456657"/>
            <wp:effectExtent l="0" t="0" r="0" b="1270"/>
            <wp:docPr id="17" name="Image 16" descr="Tableau des réponses au formulaire Forms. Titre de la question : Partie 8 : Besoins d&amp;apos;appui&#10;&#10;Classez vos besoins d&amp;apos;appui par priorité (1 = plus important, 5 = moins important) : 1= plus important&#10;&#10;&#10;&#10;. Nombre de réponses : .">
              <a:extLst xmlns:a="http://schemas.openxmlformats.org/drawingml/2006/main">
                <a:ext uri="{FF2B5EF4-FFF2-40B4-BE49-F238E27FC236}">
                  <a16:creationId xmlns:a16="http://schemas.microsoft.com/office/drawing/2014/main" id="{341E2D05-D558-B3BD-ECDF-9B3FD30229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Tableau des réponses au formulaire Forms. Titre de la question : Partie 8 : Besoins d&amp;apos;appui&#10;&#10;Classez vos besoins d&amp;apos;appui par priorité (1 = plus important, 5 = moins important) : 1= plus important&#10;&#10;&#10;&#10;. Nombre de réponses : .">
                      <a:extLst>
                        <a:ext uri="{FF2B5EF4-FFF2-40B4-BE49-F238E27FC236}">
                          <a16:creationId xmlns:a16="http://schemas.microsoft.com/office/drawing/2014/main" id="{341E2D05-D558-B3BD-ECDF-9B3FD302291F}"/>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62956" cy="24566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B3188">
        <w:rPr>
          <w:rFonts w:ascii="Kohinoor Devanagari" w:hAnsi="Kohinoor Devanagari" w:cs="Kohinoor Devanagari"/>
          <w:noProof/>
        </w:rPr>
        <w:drawing>
          <wp:inline distT="0" distB="0" distL="0" distR="0" wp14:anchorId="6186B12B" wp14:editId="0747A8CC">
            <wp:extent cx="5344327" cy="2403473"/>
            <wp:effectExtent l="0" t="0" r="0" b="0"/>
            <wp:docPr id="18" name="Image 17" descr="Tableau des réponses au formulaire Forms. Titre de la question : Partie 9 : Utilisation et attentes vis-à-vis des données ITIE&#10;&#10;Utilisez-vous actuellement les données ITIE ?. Nombre de réponses : 10 réponses.">
              <a:extLst xmlns:a="http://schemas.openxmlformats.org/drawingml/2006/main">
                <a:ext uri="{FF2B5EF4-FFF2-40B4-BE49-F238E27FC236}">
                  <a16:creationId xmlns:a16="http://schemas.microsoft.com/office/drawing/2014/main" id="{88550572-625B-463E-1517-C8F312AF0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Tableau des réponses au formulaire Forms. Titre de la question : Partie 9 : Utilisation et attentes vis-à-vis des données ITIE&#10;&#10;Utilisez-vous actuellement les données ITIE ?. Nombre de réponses : 10 réponses.">
                      <a:extLst>
                        <a:ext uri="{FF2B5EF4-FFF2-40B4-BE49-F238E27FC236}">
                          <a16:creationId xmlns:a16="http://schemas.microsoft.com/office/drawing/2014/main" id="{88550572-625B-463E-1517-C8F312AF0EA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44327" cy="240347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B3188">
        <w:rPr>
          <w:rFonts w:ascii="Kohinoor Devanagari" w:hAnsi="Kohinoor Devanagari" w:cs="Kohinoor Devanagari"/>
          <w:noProof/>
        </w:rPr>
        <w:drawing>
          <wp:inline distT="0" distB="0" distL="0" distR="0" wp14:anchorId="63235C58" wp14:editId="5E9A8BAF">
            <wp:extent cx="5327458" cy="2501106"/>
            <wp:effectExtent l="0" t="0" r="6985" b="0"/>
            <wp:docPr id="19" name="Image 18" descr="Tableau des réponses au formulaire Forms. Titre de la question : Si oui, pour quels usages (plusieurs réponses possibles) ?. Nombre de réponses : 10 réponses.">
              <a:extLst xmlns:a="http://schemas.openxmlformats.org/drawingml/2006/main">
                <a:ext uri="{FF2B5EF4-FFF2-40B4-BE49-F238E27FC236}">
                  <a16:creationId xmlns:a16="http://schemas.microsoft.com/office/drawing/2014/main" id="{CA060DBC-A677-32DE-9046-A54EC22108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Tableau des réponses au formulaire Forms. Titre de la question : Si oui, pour quels usages (plusieurs réponses possibles) ?. Nombre de réponses : 10 réponses.">
                      <a:extLst>
                        <a:ext uri="{FF2B5EF4-FFF2-40B4-BE49-F238E27FC236}">
                          <a16:creationId xmlns:a16="http://schemas.microsoft.com/office/drawing/2014/main" id="{CA060DBC-A677-32DE-9046-A54EC2210895}"/>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27458" cy="250110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B3188">
        <w:rPr>
          <w:rFonts w:ascii="Kohinoor Devanagari" w:hAnsi="Kohinoor Devanagari" w:cs="Kohinoor Devanagari"/>
          <w:noProof/>
        </w:rPr>
        <w:lastRenderedPageBreak/>
        <w:drawing>
          <wp:inline distT="0" distB="0" distL="0" distR="0" wp14:anchorId="69EDB21B" wp14:editId="5ED6A779">
            <wp:extent cx="5293157" cy="2202655"/>
            <wp:effectExtent l="0" t="0" r="3175" b="7620"/>
            <wp:docPr id="20" name="Image 19" descr="Tableau des réponses au formulaire Forms. Titre de la question : Attentes vis-à-vis des données ITIE :. Nombre de réponses : 10 réponses.">
              <a:extLst xmlns:a="http://schemas.openxmlformats.org/drawingml/2006/main">
                <a:ext uri="{FF2B5EF4-FFF2-40B4-BE49-F238E27FC236}">
                  <a16:creationId xmlns:a16="http://schemas.microsoft.com/office/drawing/2014/main" id="{F775CAF6-DAA5-D44F-A685-1351D81FFC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Tableau des réponses au formulaire Forms. Titre de la question : Attentes vis-à-vis des données ITIE :. Nombre de réponses : 10 réponses.">
                      <a:extLst>
                        <a:ext uri="{FF2B5EF4-FFF2-40B4-BE49-F238E27FC236}">
                          <a16:creationId xmlns:a16="http://schemas.microsoft.com/office/drawing/2014/main" id="{F775CAF6-DAA5-D44F-A685-1351D81FFC76}"/>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93157" cy="220265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B3188">
        <w:rPr>
          <w:rFonts w:ascii="Kohinoor Devanagari" w:hAnsi="Kohinoor Devanagari" w:cs="Kohinoor Devanagari"/>
          <w:noProof/>
        </w:rPr>
        <w:drawing>
          <wp:inline distT="0" distB="0" distL="0" distR="0" wp14:anchorId="6BE3BBD9" wp14:editId="1AAA6D71">
            <wp:extent cx="5333999" cy="2219970"/>
            <wp:effectExtent l="0" t="0" r="635" b="8890"/>
            <wp:docPr id="1631890238" name="Image 20" descr="Tableau des réponses au formulaire Forms. Titre de la question : Avantages attendus de la divulgation systématique :. Nombre de réponses : 10 réponses.">
              <a:extLst xmlns:a="http://schemas.openxmlformats.org/drawingml/2006/main">
                <a:ext uri="{FF2B5EF4-FFF2-40B4-BE49-F238E27FC236}">
                  <a16:creationId xmlns:a16="http://schemas.microsoft.com/office/drawing/2014/main" id="{69CD463D-AB25-C393-D177-5FE467F1B5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descr="Tableau des réponses au formulaire Forms. Titre de la question : Avantages attendus de la divulgation systématique :. Nombre de réponses : 10 réponses.">
                      <a:extLst>
                        <a:ext uri="{FF2B5EF4-FFF2-40B4-BE49-F238E27FC236}">
                          <a16:creationId xmlns:a16="http://schemas.microsoft.com/office/drawing/2014/main" id="{69CD463D-AB25-C393-D177-5FE467F1B513}"/>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33999" cy="221997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B3188">
        <w:rPr>
          <w:rFonts w:ascii="Kohinoor Devanagari" w:hAnsi="Kohinoor Devanagari" w:cs="Kohinoor Devanagari"/>
          <w:noProof/>
        </w:rPr>
        <w:lastRenderedPageBreak/>
        <w:drawing>
          <wp:inline distT="0" distB="0" distL="0" distR="0" wp14:anchorId="17355A66" wp14:editId="74D9C66E">
            <wp:extent cx="5383651" cy="2238375"/>
            <wp:effectExtent l="0" t="0" r="7620" b="0"/>
            <wp:docPr id="388964325" name="Image 21" descr="Tableau des réponses au formulaire Forms. Titre de la question : Défis anticipés pour l&amp;apos;intégration systématique :. Nombre de réponses : 10 réponses.">
              <a:extLst xmlns:a="http://schemas.openxmlformats.org/drawingml/2006/main">
                <a:ext uri="{FF2B5EF4-FFF2-40B4-BE49-F238E27FC236}">
                  <a16:creationId xmlns:a16="http://schemas.microsoft.com/office/drawing/2014/main" id="{3C4CD7CF-1C98-0505-95C7-CD4F448F5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descr="Tableau des réponses au formulaire Forms. Titre de la question : Défis anticipés pour l&amp;apos;intégration systématique :. Nombre de réponses : 10 réponses.">
                      <a:extLst>
                        <a:ext uri="{FF2B5EF4-FFF2-40B4-BE49-F238E27FC236}">
                          <a16:creationId xmlns:a16="http://schemas.microsoft.com/office/drawing/2014/main" id="{3C4CD7CF-1C98-0505-95C7-CD4F448F567E}"/>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83651" cy="22383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B3188">
        <w:rPr>
          <w:rFonts w:ascii="Kohinoor Devanagari" w:hAnsi="Kohinoor Devanagari" w:cs="Kohinoor Devanagari"/>
          <w:noProof/>
        </w:rPr>
        <w:drawing>
          <wp:inline distT="0" distB="0" distL="0" distR="0" wp14:anchorId="619E5FD2" wp14:editId="13CEF0DB">
            <wp:extent cx="5370386" cy="2238375"/>
            <wp:effectExtent l="0" t="0" r="1905" b="0"/>
            <wp:docPr id="23" name="Image 22" descr="Tableau des réponses au formulaire Forms. Titre de la question : Fréquence souhaitée de mise à jour des données :. Nombre de réponses : 10 réponses.">
              <a:extLst xmlns:a="http://schemas.openxmlformats.org/drawingml/2006/main">
                <a:ext uri="{FF2B5EF4-FFF2-40B4-BE49-F238E27FC236}">
                  <a16:creationId xmlns:a16="http://schemas.microsoft.com/office/drawing/2014/main" id="{CA07AA06-F2B5-ACC3-468C-DB168C81E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descr="Tableau des réponses au formulaire Forms. Titre de la question : Fréquence souhaitée de mise à jour des données :. Nombre de réponses : 10 réponses.">
                      <a:extLst>
                        <a:ext uri="{FF2B5EF4-FFF2-40B4-BE49-F238E27FC236}">
                          <a16:creationId xmlns:a16="http://schemas.microsoft.com/office/drawing/2014/main" id="{CA07AA06-F2B5-ACC3-468C-DB168C81E0A9}"/>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70386" cy="22383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B543926" w14:textId="77777777" w:rsidR="00EC7F28" w:rsidRPr="009B3188" w:rsidRDefault="00EC7F28" w:rsidP="00EC7F28">
      <w:pPr>
        <w:rPr>
          <w:rFonts w:ascii="Kohinoor Devanagari" w:hAnsi="Kohinoor Devanagari" w:cs="Kohinoor Devanagari"/>
        </w:rPr>
      </w:pPr>
    </w:p>
    <w:p w14:paraId="7195A95F" w14:textId="77777777" w:rsidR="00EC7F28" w:rsidRPr="009B3188" w:rsidRDefault="00EC7F28">
      <w:pPr>
        <w:rPr>
          <w:rFonts w:ascii="Kohinoor Devanagari" w:eastAsia="Times New Roman" w:hAnsi="Kohinoor Devanagari" w:cs="Kohinoor Devanagari"/>
          <w:color w:val="0D0D0D"/>
          <w:kern w:val="0"/>
          <w:lang w:eastAsia="fr-FR"/>
          <w14:ligatures w14:val="none"/>
        </w:rPr>
      </w:pPr>
    </w:p>
    <w:p w14:paraId="056E6B6A" w14:textId="2ACC102F" w:rsidR="00A052A4" w:rsidRPr="009B3188" w:rsidRDefault="00A052A4">
      <w:pPr>
        <w:rPr>
          <w:rFonts w:ascii="Kohinoor Devanagari" w:eastAsia="Times New Roman" w:hAnsi="Kohinoor Devanagari" w:cs="Kohinoor Devanagari"/>
          <w:color w:val="0D0D0D"/>
          <w:kern w:val="0"/>
          <w:lang w:eastAsia="fr-FR"/>
          <w14:ligatures w14:val="none"/>
        </w:rPr>
      </w:pPr>
      <w:r w:rsidRPr="009B3188">
        <w:rPr>
          <w:rFonts w:ascii="Kohinoor Devanagari" w:eastAsia="Times New Roman" w:hAnsi="Kohinoor Devanagari" w:cs="Kohinoor Devanagari"/>
          <w:color w:val="0D0D0D"/>
          <w:kern w:val="0"/>
          <w:lang w:eastAsia="fr-FR"/>
          <w14:ligatures w14:val="none"/>
        </w:rPr>
        <w:br w:type="page"/>
      </w:r>
    </w:p>
    <w:p w14:paraId="3DD2ABDA" w14:textId="11354CBC" w:rsidR="008D2245" w:rsidRPr="009B3188" w:rsidRDefault="003D3DAF" w:rsidP="003D3DAF">
      <w:pPr>
        <w:pStyle w:val="Titre2"/>
        <w:spacing w:before="120" w:after="120"/>
        <w:rPr>
          <w:rFonts w:ascii="Kohinoor Devanagari" w:eastAsia="Times New Roman" w:hAnsi="Kohinoor Devanagari" w:cs="Kohinoor Devanagari"/>
          <w:b/>
          <w:bCs/>
          <w:color w:val="0D0D0D"/>
          <w:kern w:val="0"/>
          <w:sz w:val="22"/>
          <w:szCs w:val="22"/>
          <w:lang w:eastAsia="fr-FR"/>
          <w14:ligatures w14:val="none"/>
        </w:rPr>
      </w:pPr>
      <w:bookmarkStart w:id="54" w:name="_Toc204691639"/>
      <w:r>
        <w:rPr>
          <w:rFonts w:ascii="Kohinoor Devanagari" w:eastAsia="Times New Roman" w:hAnsi="Kohinoor Devanagari" w:cs="Kohinoor Devanagari"/>
          <w:b/>
          <w:bCs/>
          <w:color w:val="0D0D0D"/>
          <w:kern w:val="0"/>
          <w:sz w:val="22"/>
          <w:szCs w:val="22"/>
          <w:lang w:eastAsia="fr-FR"/>
          <w14:ligatures w14:val="none"/>
        </w:rPr>
        <w:lastRenderedPageBreak/>
        <w:t xml:space="preserve">9.2. </w:t>
      </w:r>
      <w:r w:rsidR="006A5E40" w:rsidRPr="009B3188">
        <w:rPr>
          <w:rFonts w:ascii="Kohinoor Devanagari" w:eastAsia="Times New Roman" w:hAnsi="Kohinoor Devanagari" w:cs="Kohinoor Devanagari"/>
          <w:b/>
          <w:bCs/>
          <w:color w:val="0D0D0D"/>
          <w:kern w:val="0"/>
          <w:sz w:val="22"/>
          <w:szCs w:val="22"/>
          <w:lang w:eastAsia="fr-FR"/>
          <w14:ligatures w14:val="none"/>
        </w:rPr>
        <w:t xml:space="preserve">Questionnaire de consultation </w:t>
      </w:r>
      <w:r w:rsidR="001D3244" w:rsidRPr="009B3188">
        <w:rPr>
          <w:rFonts w:ascii="Kohinoor Devanagari" w:eastAsia="Times New Roman" w:hAnsi="Kohinoor Devanagari" w:cs="Kohinoor Devanagari"/>
          <w:b/>
          <w:bCs/>
          <w:color w:val="0D0D0D"/>
          <w:kern w:val="0"/>
          <w:sz w:val="22"/>
          <w:szCs w:val="22"/>
          <w:lang w:eastAsia="fr-FR"/>
          <w14:ligatures w14:val="none"/>
        </w:rPr>
        <w:t xml:space="preserve">des </w:t>
      </w:r>
      <w:r w:rsidR="00A052A4" w:rsidRPr="009B3188">
        <w:rPr>
          <w:rFonts w:ascii="Kohinoor Devanagari" w:eastAsia="Times New Roman" w:hAnsi="Kohinoor Devanagari" w:cs="Kohinoor Devanagari"/>
          <w:b/>
          <w:bCs/>
          <w:color w:val="0D0D0D"/>
          <w:kern w:val="0"/>
          <w:sz w:val="22"/>
          <w:szCs w:val="22"/>
          <w:lang w:eastAsia="fr-FR"/>
          <w14:ligatures w14:val="none"/>
        </w:rPr>
        <w:t>utilisateurs des données</w:t>
      </w:r>
      <w:bookmarkEnd w:id="54"/>
    </w:p>
    <w:p w14:paraId="6B1219A9"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501B15E2" wp14:editId="634E84BF">
            <wp:extent cx="4730750" cy="1933146"/>
            <wp:effectExtent l="0" t="0" r="0" b="0"/>
            <wp:docPr id="98553931" name="Image 17"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3931" name="Image 17" descr="Une image contenant texte, capture d’écran, Police, diagramme&#10;&#10;Le contenu généré par l’IA peut être incorrect."/>
                    <pic:cNvPicPr>
                      <a:picLocks noChangeAspect="1" noChangeArrowheads="1"/>
                    </pic:cNvPicPr>
                  </pic:nvPicPr>
                  <pic:blipFill>
                    <a:blip r:embed="rId68">
                      <a:extLst>
                        <a:ext uri="{28A0092B-C50C-407E-A947-70E740481C1C}">
                          <a14:useLocalDpi xmlns:a14="http://schemas.microsoft.com/office/drawing/2010/main" val="0"/>
                        </a:ext>
                      </a:extLst>
                    </a:blip>
                    <a:srcRect t="138" b="138"/>
                    <a:stretch>
                      <a:fillRect/>
                    </a:stretch>
                  </pic:blipFill>
                  <pic:spPr bwMode="auto">
                    <a:xfrm>
                      <a:off x="0" y="0"/>
                      <a:ext cx="4752341" cy="1941969"/>
                    </a:xfrm>
                    <a:prstGeom prst="rect">
                      <a:avLst/>
                    </a:prstGeom>
                    <a:noFill/>
                    <a:ln>
                      <a:noFill/>
                    </a:ln>
                    <a:extLst>
                      <a:ext uri="{53640926-AAD7-44D8-BBD7-CCE9431645EC}">
                        <a14:shadowObscured xmlns:a14="http://schemas.microsoft.com/office/drawing/2010/main"/>
                      </a:ext>
                    </a:extLst>
                  </pic:spPr>
                </pic:pic>
              </a:graphicData>
            </a:graphic>
          </wp:inline>
        </w:drawing>
      </w:r>
    </w:p>
    <w:p w14:paraId="306F4CCD"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79EC9DA6" wp14:editId="56478FD7">
            <wp:extent cx="4286708" cy="1858010"/>
            <wp:effectExtent l="0" t="0" r="0" b="8890"/>
            <wp:docPr id="292875174" name="Image 18" descr="Une image contenant texte, capture d’écran, logo,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75174" name="Image 18" descr="Une image contenant texte, capture d’écran, logo, Police&#10;&#10;Le contenu généré par l’IA peut être incorrect."/>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4301145" cy="1864267"/>
                    </a:xfrm>
                    <a:prstGeom prst="rect">
                      <a:avLst/>
                    </a:prstGeom>
                    <a:noFill/>
                    <a:ln>
                      <a:noFill/>
                    </a:ln>
                  </pic:spPr>
                </pic:pic>
              </a:graphicData>
            </a:graphic>
          </wp:inline>
        </w:drawing>
      </w:r>
    </w:p>
    <w:p w14:paraId="38E2173C"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250C6F64" wp14:editId="12661FFF">
            <wp:extent cx="4591050" cy="2007517"/>
            <wp:effectExtent l="0" t="0" r="0" b="0"/>
            <wp:docPr id="1724439102" name="Image 21" descr="Une image contenant texte, capture d’écran, Polic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39102" name="Image 21" descr="Une image contenant texte, capture d’écran, Police, logo&#10;&#10;Le contenu généré par l’IA peut être incorrect."/>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4612667" cy="2016969"/>
                    </a:xfrm>
                    <a:prstGeom prst="rect">
                      <a:avLst/>
                    </a:prstGeom>
                    <a:noFill/>
                    <a:ln>
                      <a:noFill/>
                    </a:ln>
                  </pic:spPr>
                </pic:pic>
              </a:graphicData>
            </a:graphic>
          </wp:inline>
        </w:drawing>
      </w:r>
    </w:p>
    <w:p w14:paraId="54A22C91"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260A0916" wp14:editId="63E9D565">
            <wp:extent cx="4599736" cy="1898650"/>
            <wp:effectExtent l="0" t="0" r="0" b="6350"/>
            <wp:docPr id="2051439361" name="Image 11" descr="Une image contenant texte, capture d’écran, logo,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39361" name="Image 11" descr="Une image contenant texte, capture d’écran, logo, Police&#10;&#10;Le contenu généré par l’IA peut être incorrect."/>
                    <pic:cNvPicPr>
                      <a:picLocks noChangeAspect="1" noChangeArrowheads="1"/>
                    </pic:cNvPicPr>
                  </pic:nvPicPr>
                  <pic:blipFill>
                    <a:blip r:embed="rId71">
                      <a:extLst>
                        <a:ext uri="{28A0092B-C50C-407E-A947-70E740481C1C}">
                          <a14:useLocalDpi xmlns:a14="http://schemas.microsoft.com/office/drawing/2010/main" val="0"/>
                        </a:ext>
                      </a:extLst>
                    </a:blip>
                    <a:srcRect t="617" b="617"/>
                    <a:stretch>
                      <a:fillRect/>
                    </a:stretch>
                  </pic:blipFill>
                  <pic:spPr bwMode="auto">
                    <a:xfrm>
                      <a:off x="0" y="0"/>
                      <a:ext cx="4637656" cy="1914302"/>
                    </a:xfrm>
                    <a:prstGeom prst="rect">
                      <a:avLst/>
                    </a:prstGeom>
                    <a:noFill/>
                    <a:ln>
                      <a:noFill/>
                    </a:ln>
                    <a:extLst>
                      <a:ext uri="{53640926-AAD7-44D8-BBD7-CCE9431645EC}">
                        <a14:shadowObscured xmlns:a14="http://schemas.microsoft.com/office/drawing/2010/main"/>
                      </a:ext>
                    </a:extLst>
                  </pic:spPr>
                </pic:pic>
              </a:graphicData>
            </a:graphic>
          </wp:inline>
        </w:drawing>
      </w:r>
    </w:p>
    <w:p w14:paraId="6C94935C"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lastRenderedPageBreak/>
        <w:drawing>
          <wp:inline distT="0" distB="0" distL="0" distR="0" wp14:anchorId="51F1ABDA" wp14:editId="1CAC657A">
            <wp:extent cx="4692650" cy="2182892"/>
            <wp:effectExtent l="0" t="0" r="0" b="8255"/>
            <wp:docPr id="2025220111" name="Image 22"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20111" name="Image 22" descr="Une image contenant texte, capture d’écran, diagramme, Police&#10;&#10;Le contenu généré par l’IA peut être incorrect."/>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722227" cy="2196651"/>
                    </a:xfrm>
                    <a:prstGeom prst="rect">
                      <a:avLst/>
                    </a:prstGeom>
                    <a:noFill/>
                    <a:ln>
                      <a:noFill/>
                    </a:ln>
                  </pic:spPr>
                </pic:pic>
              </a:graphicData>
            </a:graphic>
          </wp:inline>
        </w:drawing>
      </w:r>
    </w:p>
    <w:p w14:paraId="1AE624B7"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16E8B5B0" wp14:editId="1769B2F2">
            <wp:extent cx="4603503" cy="2038350"/>
            <wp:effectExtent l="0" t="0" r="6985" b="0"/>
            <wp:docPr id="726951584" name="Image 23" descr="Une image contenant texte, capture d’écran, Polic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51584" name="Image 23" descr="Une image contenant texte, capture d’écran, Police, logo&#10;&#10;Le contenu généré par l’IA peut être incorrect."/>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4623291" cy="2047112"/>
                    </a:xfrm>
                    <a:prstGeom prst="rect">
                      <a:avLst/>
                    </a:prstGeom>
                    <a:noFill/>
                    <a:ln>
                      <a:noFill/>
                    </a:ln>
                  </pic:spPr>
                </pic:pic>
              </a:graphicData>
            </a:graphic>
          </wp:inline>
        </w:drawing>
      </w:r>
    </w:p>
    <w:p w14:paraId="0A1B305D" w14:textId="77777777" w:rsidR="00A052A4" w:rsidRPr="009B3188" w:rsidRDefault="00A052A4" w:rsidP="00A052A4">
      <w:pPr>
        <w:rPr>
          <w:rFonts w:ascii="Kohinoor Devanagari" w:hAnsi="Kohinoor Devanagari" w:cs="Kohinoor Devanagari"/>
          <w:color w:val="000000" w:themeColor="text1"/>
        </w:rPr>
      </w:pPr>
      <w:r w:rsidRPr="009B3188">
        <w:rPr>
          <w:rFonts w:ascii="Kohinoor Devanagari" w:hAnsi="Kohinoor Devanagari" w:cs="Kohinoor Devanagari"/>
          <w:noProof/>
        </w:rPr>
        <w:drawing>
          <wp:inline distT="0" distB="0" distL="0" distR="0" wp14:anchorId="1E9C6876" wp14:editId="33C8395A">
            <wp:extent cx="4826000" cy="2020057"/>
            <wp:effectExtent l="0" t="0" r="0" b="0"/>
            <wp:docPr id="85672907" name="Image 24"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2907" name="Image 24" descr="Une image contenant texte, capture d’écran, diagramme, Police&#10;&#10;Le contenu généré par l’IA peut être incorrect."/>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4836328" cy="2024380"/>
                    </a:xfrm>
                    <a:prstGeom prst="rect">
                      <a:avLst/>
                    </a:prstGeom>
                    <a:noFill/>
                    <a:ln>
                      <a:noFill/>
                    </a:ln>
                  </pic:spPr>
                </pic:pic>
              </a:graphicData>
            </a:graphic>
          </wp:inline>
        </w:drawing>
      </w:r>
      <w:r w:rsidRPr="009B3188">
        <w:rPr>
          <w:rFonts w:ascii="Kohinoor Devanagari" w:hAnsi="Kohinoor Devanagari" w:cs="Kohinoor Devanagari"/>
          <w:noProof/>
        </w:rPr>
        <w:drawing>
          <wp:inline distT="0" distB="0" distL="0" distR="0" wp14:anchorId="134AAC5D" wp14:editId="7AD2D5C2">
            <wp:extent cx="4667250" cy="2095830"/>
            <wp:effectExtent l="0" t="0" r="0" b="0"/>
            <wp:docPr id="9" name="Image 8" descr="Tableau des réponses au formulaire Forms. Titre de la question : Partie 4 : Besoins et attentes vis-à-vis de la divulgation systématique&#10;&#10;Priorités de divulgation : Bénéficiaires effectifs. Nombre de réponses : 14 réponses.">
              <a:extLst xmlns:a="http://schemas.openxmlformats.org/drawingml/2006/main">
                <a:ext uri="{FF2B5EF4-FFF2-40B4-BE49-F238E27FC236}">
                  <a16:creationId xmlns:a16="http://schemas.microsoft.com/office/drawing/2014/main" id="{65F063D4-5136-2660-C3E3-3F51402FD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Tableau des réponses au formulaire Forms. Titre de la question : Partie 4 : Besoins et attentes vis-à-vis de la divulgation systématique&#10;&#10;Priorités de divulgation : Bénéficiaires effectifs. Nombre de réponses : 14 réponses.">
                      <a:extLst>
                        <a:ext uri="{FF2B5EF4-FFF2-40B4-BE49-F238E27FC236}">
                          <a16:creationId xmlns:a16="http://schemas.microsoft.com/office/drawing/2014/main" id="{65F063D4-5136-2660-C3E3-3F51402FDCA3}"/>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77705" cy="2100525"/>
                    </a:xfrm>
                    <a:prstGeom prst="rect">
                      <a:avLst/>
                    </a:prstGeom>
                    <a:noFill/>
                  </pic:spPr>
                </pic:pic>
              </a:graphicData>
            </a:graphic>
          </wp:inline>
        </w:drawing>
      </w:r>
      <w:r w:rsidRPr="009B3188">
        <w:rPr>
          <w:rFonts w:ascii="Kohinoor Devanagari" w:hAnsi="Kohinoor Devanagari" w:cs="Kohinoor Devanagari"/>
          <w:noProof/>
        </w:rPr>
        <w:lastRenderedPageBreak/>
        <w:drawing>
          <wp:inline distT="0" distB="0" distL="0" distR="0" wp14:anchorId="0658F390" wp14:editId="27582010">
            <wp:extent cx="4959350" cy="2066732"/>
            <wp:effectExtent l="0" t="0" r="0" b="0"/>
            <wp:docPr id="10" name="Image 9" descr="Tableau des réponses au formulaire Forms. Titre de la question : Formats de données préférés : Base de données en ligne, Rapports PDF? Tableaux EXCEL/CSV. Nombre de réponses : 14 réponses.">
              <a:extLst xmlns:a="http://schemas.openxmlformats.org/drawingml/2006/main">
                <a:ext uri="{FF2B5EF4-FFF2-40B4-BE49-F238E27FC236}">
                  <a16:creationId xmlns:a16="http://schemas.microsoft.com/office/drawing/2014/main" id="{F470F41B-89FB-297A-F63C-7C936819FC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Tableau des réponses au formulaire Forms. Titre de la question : Formats de données préférés : Base de données en ligne, Rapports PDF? Tableaux EXCEL/CSV. Nombre de réponses : 14 réponses.">
                      <a:extLst>
                        <a:ext uri="{FF2B5EF4-FFF2-40B4-BE49-F238E27FC236}">
                          <a16:creationId xmlns:a16="http://schemas.microsoft.com/office/drawing/2014/main" id="{F470F41B-89FB-297A-F63C-7C936819FC54}"/>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65117" cy="2069136"/>
                    </a:xfrm>
                    <a:prstGeom prst="rect">
                      <a:avLst/>
                    </a:prstGeom>
                    <a:noFill/>
                  </pic:spPr>
                </pic:pic>
              </a:graphicData>
            </a:graphic>
          </wp:inline>
        </w:drawing>
      </w:r>
      <w:r w:rsidRPr="009B3188">
        <w:rPr>
          <w:rFonts w:ascii="Kohinoor Devanagari" w:hAnsi="Kohinoor Devanagari" w:cs="Kohinoor Devanagari"/>
          <w:noProof/>
        </w:rPr>
        <w:drawing>
          <wp:inline distT="0" distB="0" distL="0" distR="0" wp14:anchorId="00CB740B" wp14:editId="49FDC414">
            <wp:extent cx="4826000" cy="2011907"/>
            <wp:effectExtent l="0" t="0" r="0" b="7620"/>
            <wp:docPr id="11" name="Image 10" descr="Tableau des réponses au formulaire Forms. Titre de la question : Fréquence de mise à jour souhaitée : Trimestre. Nombre de réponses : 14 réponses.">
              <a:extLst xmlns:a="http://schemas.openxmlformats.org/drawingml/2006/main">
                <a:ext uri="{FF2B5EF4-FFF2-40B4-BE49-F238E27FC236}">
                  <a16:creationId xmlns:a16="http://schemas.microsoft.com/office/drawing/2014/main" id="{7AF7BC09-C902-DD13-A975-DAE0D4A00C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Tableau des réponses au formulaire Forms. Titre de la question : Fréquence de mise à jour souhaitée : Trimestre. Nombre de réponses : 14 réponses.">
                      <a:extLst>
                        <a:ext uri="{FF2B5EF4-FFF2-40B4-BE49-F238E27FC236}">
                          <a16:creationId xmlns:a16="http://schemas.microsoft.com/office/drawing/2014/main" id="{7AF7BC09-C902-DD13-A975-DAE0D4A00C75}"/>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30008" cy="2013578"/>
                    </a:xfrm>
                    <a:prstGeom prst="rect">
                      <a:avLst/>
                    </a:prstGeom>
                    <a:noFill/>
                  </pic:spPr>
                </pic:pic>
              </a:graphicData>
            </a:graphic>
          </wp:inline>
        </w:drawing>
      </w:r>
      <w:r w:rsidRPr="009B3188">
        <w:rPr>
          <w:rFonts w:ascii="Kohinoor Devanagari" w:hAnsi="Kohinoor Devanagari" w:cs="Kohinoor Devanagari"/>
          <w:noProof/>
        </w:rPr>
        <w:drawing>
          <wp:inline distT="0" distB="0" distL="0" distR="0" wp14:anchorId="6FB6EA98" wp14:editId="46B2874F">
            <wp:extent cx="4667250" cy="2190916"/>
            <wp:effectExtent l="0" t="0" r="0" b="0"/>
            <wp:docPr id="949731252" name="Image 11" descr="Tableau des réponses au formulaire Forms. Titre de la question : Partie 5 : Obstacles rencontrés&#10;&#10;Principaux obstacles : Restriction/confidentialité. Nombre de réponses : 14 réponses.">
              <a:extLst xmlns:a="http://schemas.openxmlformats.org/drawingml/2006/main">
                <a:ext uri="{FF2B5EF4-FFF2-40B4-BE49-F238E27FC236}">
                  <a16:creationId xmlns:a16="http://schemas.microsoft.com/office/drawing/2014/main" id="{1A3790C7-808A-B993-2CE2-E7C20E981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descr="Tableau des réponses au formulaire Forms. Titre de la question : Partie 5 : Obstacles rencontrés&#10;&#10;Principaux obstacles : Restriction/confidentialité. Nombre de réponses : 14 réponses.">
                      <a:extLst>
                        <a:ext uri="{FF2B5EF4-FFF2-40B4-BE49-F238E27FC236}">
                          <a16:creationId xmlns:a16="http://schemas.microsoft.com/office/drawing/2014/main" id="{1A3790C7-808A-B993-2CE2-E7C20E981DC4}"/>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72220" cy="2193249"/>
                    </a:xfrm>
                    <a:prstGeom prst="rect">
                      <a:avLst/>
                    </a:prstGeom>
                    <a:noFill/>
                  </pic:spPr>
                </pic:pic>
              </a:graphicData>
            </a:graphic>
          </wp:inline>
        </w:drawing>
      </w:r>
      <w:r w:rsidRPr="009B3188">
        <w:rPr>
          <w:rFonts w:ascii="Kohinoor Devanagari" w:hAnsi="Kohinoor Devanagari" w:cs="Kohinoor Devanagari"/>
          <w:noProof/>
        </w:rPr>
        <w:drawing>
          <wp:inline distT="0" distB="0" distL="0" distR="0" wp14:anchorId="1D639D54" wp14:editId="4C507C04">
            <wp:extent cx="4908550" cy="2471063"/>
            <wp:effectExtent l="0" t="0" r="6350" b="5715"/>
            <wp:docPr id="975521507" name="Image 12" descr="Tableau des réponses au formulaire Forms. Titre de la question : Partie 6 : Besoins de renforcement de capacité&#10;&#10;Besoins de renforcement : Production des rapports simplifiés, Formation en analyse de données, Lecture des contrat extractifs.. Nombre de réponses : 14 réponses.">
              <a:extLst xmlns:a="http://schemas.openxmlformats.org/drawingml/2006/main">
                <a:ext uri="{FF2B5EF4-FFF2-40B4-BE49-F238E27FC236}">
                  <a16:creationId xmlns:a16="http://schemas.microsoft.com/office/drawing/2014/main" id="{F374EC6F-EFF5-7842-9846-9B36A86C65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Tableau des réponses au formulaire Forms. Titre de la question : Partie 6 : Besoins de renforcement de capacité&#10;&#10;Besoins de renforcement : Production des rapports simplifiés, Formation en analyse de données, Lecture des contrat extractifs.. Nombre de réponses : 14 réponses.">
                      <a:extLst>
                        <a:ext uri="{FF2B5EF4-FFF2-40B4-BE49-F238E27FC236}">
                          <a16:creationId xmlns:a16="http://schemas.microsoft.com/office/drawing/2014/main" id="{F374EC6F-EFF5-7842-9846-9B36A86C65E4}"/>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12223" cy="2472912"/>
                    </a:xfrm>
                    <a:prstGeom prst="rect">
                      <a:avLst/>
                    </a:prstGeom>
                    <a:noFill/>
                  </pic:spPr>
                </pic:pic>
              </a:graphicData>
            </a:graphic>
          </wp:inline>
        </w:drawing>
      </w:r>
      <w:r w:rsidRPr="009B3188">
        <w:rPr>
          <w:rFonts w:ascii="Kohinoor Devanagari" w:hAnsi="Kohinoor Devanagari" w:cs="Kohinoor Devanagari"/>
          <w:noProof/>
        </w:rPr>
        <w:lastRenderedPageBreak/>
        <w:drawing>
          <wp:inline distT="0" distB="0" distL="0" distR="0" wp14:anchorId="773D7616" wp14:editId="54AB57B4">
            <wp:extent cx="4775200" cy="2147776"/>
            <wp:effectExtent l="0" t="0" r="6350" b="5080"/>
            <wp:docPr id="14" name="Image 13" descr="Tableau des réponses au formulaire Forms. Titre de la question : Partie 7 : Inclusion sociale et suggestions&#10;&#10;La divulgation actuelle répond-elle aux besoins des groupes vulnérables ? NON. Nombre de réponses : 14 réponses.">
              <a:extLst xmlns:a="http://schemas.openxmlformats.org/drawingml/2006/main">
                <a:ext uri="{FF2B5EF4-FFF2-40B4-BE49-F238E27FC236}">
                  <a16:creationId xmlns:a16="http://schemas.microsoft.com/office/drawing/2014/main" id="{475B6206-E68C-38A5-8754-E5509A020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Tableau des réponses au formulaire Forms. Titre de la question : Partie 7 : Inclusion sociale et suggestions&#10;&#10;La divulgation actuelle répond-elle aux besoins des groupes vulnérables ? NON. Nombre de réponses : 14 réponses.">
                      <a:extLst>
                        <a:ext uri="{FF2B5EF4-FFF2-40B4-BE49-F238E27FC236}">
                          <a16:creationId xmlns:a16="http://schemas.microsoft.com/office/drawing/2014/main" id="{475B6206-E68C-38A5-8754-E5509A020A55}"/>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77452" cy="2148789"/>
                    </a:xfrm>
                    <a:prstGeom prst="rect">
                      <a:avLst/>
                    </a:prstGeom>
                    <a:noFill/>
                  </pic:spPr>
                </pic:pic>
              </a:graphicData>
            </a:graphic>
          </wp:inline>
        </w:drawing>
      </w:r>
      <w:r w:rsidRPr="009B3188">
        <w:rPr>
          <w:rFonts w:ascii="Kohinoor Devanagari" w:hAnsi="Kohinoor Devanagari" w:cs="Kohinoor Devanagari"/>
          <w:noProof/>
        </w:rPr>
        <w:drawing>
          <wp:inline distT="0" distB="0" distL="0" distR="0" wp14:anchorId="63B33CFA" wp14:editId="7C93FF05">
            <wp:extent cx="4654550" cy="2344902"/>
            <wp:effectExtent l="0" t="0" r="0" b="0"/>
            <wp:docPr id="15" name="Image 14" descr="Tableau des réponses au formulaire Forms. Titre de la question : Partie 8 : Usages futurs des données systématiquement publiées&#10;Si davantage de données étaient disponibles systématiquement, à quelles fins principales votre organisation les utiliserait-elle ? (cochez tout ce qui s’applique) Production de rapports analytiques,  Recherche académique. Nombre de réponses : 14 réponses.">
              <a:extLst xmlns:a="http://schemas.openxmlformats.org/drawingml/2006/main">
                <a:ext uri="{FF2B5EF4-FFF2-40B4-BE49-F238E27FC236}">
                  <a16:creationId xmlns:a16="http://schemas.microsoft.com/office/drawing/2014/main" id="{A6197FDD-023F-F650-A0AF-7DE5771FF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Tableau des réponses au formulaire Forms. Titre de la question : Partie 8 : Usages futurs des données systématiquement publiées&#10;Si davantage de données étaient disponibles systématiquement, à quelles fins principales votre organisation les utiliserait-elle ? (cochez tout ce qui s’applique) Production de rapports analytiques,  Recherche académique. Nombre de réponses : 14 réponses.">
                      <a:extLst>
                        <a:ext uri="{FF2B5EF4-FFF2-40B4-BE49-F238E27FC236}">
                          <a16:creationId xmlns:a16="http://schemas.microsoft.com/office/drawing/2014/main" id="{A6197FDD-023F-F650-A0AF-7DE5771FFA55}"/>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76476" cy="2355948"/>
                    </a:xfrm>
                    <a:prstGeom prst="rect">
                      <a:avLst/>
                    </a:prstGeom>
                    <a:noFill/>
                  </pic:spPr>
                </pic:pic>
              </a:graphicData>
            </a:graphic>
          </wp:inline>
        </w:drawing>
      </w:r>
      <w:r w:rsidRPr="009B3188">
        <w:rPr>
          <w:rFonts w:ascii="Kohinoor Devanagari" w:hAnsi="Kohinoor Devanagari" w:cs="Kohinoor Devanagari"/>
          <w:noProof/>
        </w:rPr>
        <w:drawing>
          <wp:inline distT="0" distB="0" distL="0" distR="0" wp14:anchorId="5619511F" wp14:editId="27DDA1C6">
            <wp:extent cx="4514850" cy="2272245"/>
            <wp:effectExtent l="0" t="0" r="0" b="0"/>
            <wp:docPr id="16" name="Image 15" descr="Tableau des réponses au formulaire Forms. Titre de la question : Partie 9 : Capacité technique pour utiliser des bases de données&#10;Disposez-vous des outils et compétences nécessaires pour exploiter : Tableaux Excel complexes.. Nombre de réponses : 14 réponses.">
              <a:extLst xmlns:a="http://schemas.openxmlformats.org/drawingml/2006/main">
                <a:ext uri="{FF2B5EF4-FFF2-40B4-BE49-F238E27FC236}">
                  <a16:creationId xmlns:a16="http://schemas.microsoft.com/office/drawing/2014/main" id="{3D39777B-A3A8-81A3-394A-35501B253A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descr="Tableau des réponses au formulaire Forms. Titre de la question : Partie 9 : Capacité technique pour utiliser des bases de données&#10;Disposez-vous des outils et compétences nécessaires pour exploiter : Tableaux Excel complexes.. Nombre de réponses : 14 réponses.">
                      <a:extLst>
                        <a:ext uri="{FF2B5EF4-FFF2-40B4-BE49-F238E27FC236}">
                          <a16:creationId xmlns:a16="http://schemas.microsoft.com/office/drawing/2014/main" id="{3D39777B-A3A8-81A3-394A-35501B253ABC}"/>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24722" cy="2277213"/>
                    </a:xfrm>
                    <a:prstGeom prst="rect">
                      <a:avLst/>
                    </a:prstGeom>
                    <a:noFill/>
                  </pic:spPr>
                </pic:pic>
              </a:graphicData>
            </a:graphic>
          </wp:inline>
        </w:drawing>
      </w:r>
    </w:p>
    <w:p w14:paraId="697A9AE9" w14:textId="3B5C0056" w:rsidR="00A052A4" w:rsidRPr="009B3188" w:rsidRDefault="00A052A4">
      <w:pPr>
        <w:rPr>
          <w:rFonts w:ascii="Kohinoor Devanagari" w:hAnsi="Kohinoor Devanagari" w:cs="Kohinoor Devanagari"/>
          <w:lang w:eastAsia="fr-FR"/>
        </w:rPr>
      </w:pPr>
      <w:r w:rsidRPr="009B3188">
        <w:rPr>
          <w:rFonts w:ascii="Kohinoor Devanagari" w:hAnsi="Kohinoor Devanagari" w:cs="Kohinoor Devanagari"/>
          <w:lang w:eastAsia="fr-FR"/>
        </w:rPr>
        <w:br w:type="page"/>
      </w:r>
    </w:p>
    <w:p w14:paraId="6CC6CDCA" w14:textId="4BF1036C" w:rsidR="004B3AA3" w:rsidRPr="001059BE" w:rsidRDefault="003D3DAF" w:rsidP="003D3DAF">
      <w:pPr>
        <w:pStyle w:val="Titre2"/>
        <w:spacing w:before="120" w:after="120"/>
        <w:rPr>
          <w:rFonts w:ascii="Kohinoor Devanagari" w:eastAsia="Times New Roman" w:hAnsi="Kohinoor Devanagari" w:cs="Kohinoor Devanagari"/>
          <w:b/>
          <w:bCs/>
          <w:color w:val="0D0D0D"/>
          <w:kern w:val="0"/>
          <w:sz w:val="22"/>
          <w:szCs w:val="22"/>
          <w:lang w:eastAsia="fr-FR"/>
          <w14:ligatures w14:val="none"/>
        </w:rPr>
      </w:pPr>
      <w:bookmarkStart w:id="55" w:name="_Toc204691640"/>
      <w:r>
        <w:rPr>
          <w:rFonts w:ascii="Kohinoor Devanagari" w:eastAsia="Times New Roman" w:hAnsi="Kohinoor Devanagari" w:cs="Kohinoor Devanagari"/>
          <w:b/>
          <w:bCs/>
          <w:color w:val="0D0D0D"/>
          <w:kern w:val="0"/>
          <w:sz w:val="22"/>
          <w:szCs w:val="22"/>
          <w:lang w:eastAsia="fr-FR"/>
          <w14:ligatures w14:val="none"/>
        </w:rPr>
        <w:lastRenderedPageBreak/>
        <w:t xml:space="preserve">9.3. </w:t>
      </w:r>
      <w:r w:rsidR="0072196A" w:rsidRPr="001059BE">
        <w:rPr>
          <w:rFonts w:ascii="Kohinoor Devanagari" w:eastAsia="Times New Roman" w:hAnsi="Kohinoor Devanagari" w:cs="Kohinoor Devanagari"/>
          <w:b/>
          <w:bCs/>
          <w:color w:val="0D0D0D"/>
          <w:kern w:val="0"/>
          <w:sz w:val="22"/>
          <w:szCs w:val="22"/>
          <w:lang w:eastAsia="fr-FR"/>
          <w14:ligatures w14:val="none"/>
        </w:rPr>
        <w:t xml:space="preserve">Mapping de la divulgation </w:t>
      </w:r>
      <w:r w:rsidR="00E95619" w:rsidRPr="001059BE">
        <w:rPr>
          <w:rFonts w:ascii="Kohinoor Devanagari" w:eastAsia="Times New Roman" w:hAnsi="Kohinoor Devanagari" w:cs="Kohinoor Devanagari"/>
          <w:b/>
          <w:bCs/>
          <w:color w:val="0D0D0D"/>
          <w:kern w:val="0"/>
          <w:sz w:val="22"/>
          <w:szCs w:val="22"/>
          <w:lang w:eastAsia="fr-FR"/>
          <w14:ligatures w14:val="none"/>
        </w:rPr>
        <w:t xml:space="preserve">systématique </w:t>
      </w:r>
      <w:r w:rsidR="0072196A" w:rsidRPr="001059BE">
        <w:rPr>
          <w:rFonts w:ascii="Kohinoor Devanagari" w:eastAsia="Times New Roman" w:hAnsi="Kohinoor Devanagari" w:cs="Kohinoor Devanagari"/>
          <w:b/>
          <w:bCs/>
          <w:color w:val="0D0D0D"/>
          <w:kern w:val="0"/>
          <w:sz w:val="22"/>
          <w:szCs w:val="22"/>
          <w:lang w:eastAsia="fr-FR"/>
          <w14:ligatures w14:val="none"/>
        </w:rPr>
        <w:t xml:space="preserve">des données </w:t>
      </w:r>
      <w:r w:rsidR="00AF781A" w:rsidRPr="001059BE">
        <w:rPr>
          <w:rFonts w:ascii="Kohinoor Devanagari" w:eastAsia="Times New Roman" w:hAnsi="Kohinoor Devanagari" w:cs="Kohinoor Devanagari"/>
          <w:b/>
          <w:bCs/>
          <w:color w:val="0D0D0D"/>
          <w:kern w:val="0"/>
          <w:sz w:val="22"/>
          <w:szCs w:val="22"/>
          <w:lang w:eastAsia="fr-FR"/>
          <w14:ligatures w14:val="none"/>
        </w:rPr>
        <w:t>(Ficher Excel joint au rapport)</w:t>
      </w:r>
      <w:bookmarkEnd w:id="55"/>
    </w:p>
    <w:p w14:paraId="62351C6D" w14:textId="23477DC3" w:rsidR="00485273" w:rsidRPr="009B3188" w:rsidRDefault="00485273" w:rsidP="005160F4">
      <w:pPr>
        <w:rPr>
          <w:rFonts w:ascii="Kohinoor Devanagari" w:eastAsia="Times New Roman" w:hAnsi="Kohinoor Devanagari" w:cs="Kohinoor Devanagari"/>
          <w:color w:val="000000" w:themeColor="text1"/>
          <w:kern w:val="0"/>
          <w:lang w:eastAsia="fr-FR"/>
          <w14:ligatures w14:val="none"/>
        </w:rPr>
      </w:pPr>
    </w:p>
    <w:p w14:paraId="0206D32E" w14:textId="77777777" w:rsidR="00AC1D5C" w:rsidRPr="009B3188" w:rsidRDefault="00AC1D5C" w:rsidP="004B3AA3">
      <w:pPr>
        <w:spacing w:after="0" w:line="240" w:lineRule="auto"/>
        <w:rPr>
          <w:rFonts w:ascii="Kohinoor Devanagari" w:eastAsia="Times New Roman" w:hAnsi="Kohinoor Devanagari" w:cs="Kohinoor Devanagari"/>
          <w:color w:val="000000" w:themeColor="text1"/>
          <w:kern w:val="0"/>
          <w:highlight w:val="yellow"/>
          <w:lang w:eastAsia="fr-FR"/>
          <w14:ligatures w14:val="none"/>
        </w:rPr>
      </w:pPr>
    </w:p>
    <w:p w14:paraId="0AC4A307" w14:textId="77777777" w:rsidR="00DA7DC4" w:rsidRPr="009B3188" w:rsidRDefault="00DA7DC4" w:rsidP="00B00DC6">
      <w:pPr>
        <w:spacing w:after="0" w:line="240" w:lineRule="auto"/>
        <w:rPr>
          <w:rFonts w:ascii="Kohinoor Devanagari" w:eastAsia="Times New Roman" w:hAnsi="Kohinoor Devanagari" w:cs="Kohinoor Devanagari"/>
          <w:color w:val="000000" w:themeColor="text1"/>
          <w:kern w:val="0"/>
          <w:lang w:eastAsia="fr-FR"/>
          <w14:ligatures w14:val="none"/>
        </w:rPr>
      </w:pPr>
    </w:p>
    <w:p w14:paraId="3A8EA6BA" w14:textId="77777777" w:rsidR="00DA7DC4" w:rsidRPr="009B3188" w:rsidRDefault="00DA7DC4" w:rsidP="004B3AA3">
      <w:pPr>
        <w:spacing w:after="0" w:line="240" w:lineRule="auto"/>
        <w:rPr>
          <w:rFonts w:ascii="Kohinoor Devanagari" w:eastAsia="Times New Roman" w:hAnsi="Kohinoor Devanagari" w:cs="Kohinoor Devanagari"/>
          <w:color w:val="000000" w:themeColor="text1"/>
          <w:kern w:val="0"/>
          <w:lang w:eastAsia="fr-FR"/>
          <w14:ligatures w14:val="none"/>
        </w:rPr>
      </w:pPr>
    </w:p>
    <w:p w14:paraId="0AF9B34F" w14:textId="77777777" w:rsidR="00876EFD" w:rsidRPr="009B3188" w:rsidRDefault="00876EFD" w:rsidP="00876EFD">
      <w:pPr>
        <w:rPr>
          <w:rFonts w:ascii="Kohinoor Devanagari" w:eastAsia="Trebuchet MS" w:hAnsi="Kohinoor Devanagari" w:cs="Kohinoor Devanagari"/>
          <w:b/>
          <w:color w:val="ED1A3A"/>
          <w:sz w:val="48"/>
          <w:szCs w:val="48"/>
        </w:rPr>
        <w:sectPr w:rsidR="00876EFD" w:rsidRPr="009B3188" w:rsidSect="00405547">
          <w:pgSz w:w="11900" w:h="16840"/>
          <w:pgMar w:top="1418" w:right="1134" w:bottom="1418" w:left="1418" w:header="567" w:footer="567" w:gutter="0"/>
          <w:cols w:space="708"/>
          <w:docGrid w:linePitch="360"/>
        </w:sectPr>
      </w:pPr>
    </w:p>
    <w:p w14:paraId="28609FB6" w14:textId="48B90AF7" w:rsidR="00876EFD" w:rsidRPr="009B3188" w:rsidRDefault="000B663D" w:rsidP="00876EFD">
      <w:pPr>
        <w:rPr>
          <w:rFonts w:ascii="Kohinoor Devanagari" w:eastAsia="Trebuchet MS" w:hAnsi="Kohinoor Devanagari" w:cs="Kohinoor Devanagari"/>
          <w:b/>
          <w:color w:val="ED1A3A"/>
          <w:sz w:val="48"/>
          <w:szCs w:val="48"/>
        </w:rPr>
      </w:pPr>
      <w:r w:rsidRPr="009B3188">
        <w:rPr>
          <w:rFonts w:ascii="Kohinoor Devanagari" w:hAnsi="Kohinoor Devanagari" w:cs="Kohinoor Devanagari"/>
          <w:noProof/>
        </w:rPr>
        <w:lastRenderedPageBreak/>
        <mc:AlternateContent>
          <mc:Choice Requires="wps">
            <w:drawing>
              <wp:anchor distT="0" distB="0" distL="114300" distR="114300" simplePos="0" relativeHeight="251644416" behindDoc="1" locked="0" layoutInCell="1" allowOverlap="1" wp14:anchorId="0F1C9497" wp14:editId="22D10BA9">
                <wp:simplePos x="0" y="0"/>
                <wp:positionH relativeFrom="page">
                  <wp:align>center</wp:align>
                </wp:positionH>
                <wp:positionV relativeFrom="paragraph">
                  <wp:posOffset>-988060</wp:posOffset>
                </wp:positionV>
                <wp:extent cx="7603490" cy="10742295"/>
                <wp:effectExtent l="0" t="0" r="0" b="1905"/>
                <wp:wrapNone/>
                <wp:docPr id="408354436" name="Rectangle 372154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3490" cy="10742295"/>
                        </a:xfrm>
                        <a:prstGeom prst="rect">
                          <a:avLst/>
                        </a:prstGeom>
                        <a:solidFill>
                          <a:srgbClr val="4762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51514" id="Rectangle 372154599" o:spid="_x0000_s1026" style="position:absolute;margin-left:0;margin-top:-77.8pt;width:598.7pt;height:845.85pt;z-index:-2516720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" fillcolor="#47626f" stroked="f">
                <w10:wrap anchorx="page"/>
              </v:rect>
            </w:pict>
          </mc:Fallback>
        </mc:AlternateContent>
      </w:r>
    </w:p>
    <w:p w14:paraId="1DDBE3EF" w14:textId="2246E7BF" w:rsidR="00876EFD" w:rsidRPr="009B3188" w:rsidRDefault="000B663D" w:rsidP="00876EFD">
      <w:pPr>
        <w:rPr>
          <w:rFonts w:ascii="Kohinoor Devanagari" w:eastAsia="Trebuchet MS" w:hAnsi="Kohinoor Devanagari" w:cs="Kohinoor Devanagari"/>
          <w:b/>
          <w:color w:val="ED1A3A"/>
          <w:sz w:val="48"/>
          <w:szCs w:val="48"/>
        </w:rPr>
      </w:pPr>
      <w:r w:rsidRPr="009B3188">
        <w:rPr>
          <w:rFonts w:ascii="Kohinoor Devanagari" w:hAnsi="Kohinoor Devanagari" w:cs="Kohinoor Devanagari"/>
          <w:noProof/>
        </w:rPr>
        <mc:AlternateContent>
          <mc:Choice Requires="wps">
            <w:drawing>
              <wp:anchor distT="0" distB="0" distL="114300" distR="114300" simplePos="0" relativeHeight="251645440" behindDoc="0" locked="0" layoutInCell="1" allowOverlap="1" wp14:anchorId="0EBC0E50" wp14:editId="72C8F409">
                <wp:simplePos x="0" y="0"/>
                <wp:positionH relativeFrom="column">
                  <wp:posOffset>1020445</wp:posOffset>
                </wp:positionH>
                <wp:positionV relativeFrom="paragraph">
                  <wp:posOffset>1487170</wp:posOffset>
                </wp:positionV>
                <wp:extent cx="4800600" cy="1951990"/>
                <wp:effectExtent l="0" t="0" r="0" b="0"/>
                <wp:wrapNone/>
                <wp:docPr id="156441926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0600" cy="1951990"/>
                        </a:xfrm>
                        <a:prstGeom prst="rect">
                          <a:avLst/>
                        </a:prstGeom>
                      </wps:spPr>
                      <wps:txbx>
                        <w:txbxContent>
                          <w:p w14:paraId="31E6EAC8"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Immeuble Ennour 6ème étage</w:t>
                            </w:r>
                          </w:p>
                          <w:p w14:paraId="02C9CEA8"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Centre Urbain Nord</w:t>
                            </w:r>
                          </w:p>
                          <w:p w14:paraId="1309A7E6"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1082 Tunis – TUNISIE</w:t>
                            </w:r>
                          </w:p>
                          <w:p w14:paraId="747AE41E"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Tél : +216 36 36 29 54</w:t>
                            </w:r>
                          </w:p>
                          <w:p w14:paraId="298E4145" w14:textId="77777777" w:rsidR="00876EFD" w:rsidRPr="00D76616" w:rsidRDefault="00876EFD" w:rsidP="00876EFD">
                            <w:pPr>
                              <w:spacing w:after="60"/>
                              <w:jc w:val="right"/>
                              <w:textAlignment w:val="baseline"/>
                              <w:rPr>
                                <w:rStyle w:val="Lienhypertexte"/>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 xml:space="preserve">Mail : </w:t>
                            </w:r>
                            <w:hyperlink r:id="rId83" w:history="1">
                              <w:r w:rsidRPr="00D76616">
                                <w:rPr>
                                  <w:rStyle w:val="Lienhypertexte"/>
                                  <w:rFonts w:ascii="Kohinoor Devanagari" w:hAnsi="Kohinoor Devanagari" w:cs="Kohinoor Devanagari"/>
                                  <w:color w:val="FFFFFF" w:themeColor="background1"/>
                                  <w:kern w:val="24"/>
                                  <w:sz w:val="18"/>
                                  <w:szCs w:val="18"/>
                                </w:rPr>
                                <w:t>enerteam@enerteam.tn</w:t>
                              </w:r>
                            </w:hyperlink>
                          </w:p>
                          <w:p w14:paraId="516ABCF9" w14:textId="77777777" w:rsidR="00876EFD" w:rsidRPr="0071397D" w:rsidRDefault="00876EFD" w:rsidP="00876EFD">
                            <w:pPr>
                              <w:spacing w:after="60"/>
                              <w:jc w:val="right"/>
                              <w:textAlignment w:val="baseline"/>
                              <w:rPr>
                                <w:rFonts w:ascii="Kohinoor Devanagari" w:hAnsi="Kohinoor Devanagari" w:cs="Kohinoor Devanagari"/>
                                <w:color w:val="FFFFFF" w:themeColor="background1"/>
                                <w:kern w:val="24"/>
                                <w:sz w:val="20"/>
                                <w:szCs w:val="20"/>
                              </w:rPr>
                            </w:pPr>
                            <w:r w:rsidRPr="00D76616">
                              <w:rPr>
                                <w:rFonts w:ascii="Kohinoor Devanagari" w:hAnsi="Kohinoor Devanagari" w:cs="Kohinoor Devanagari"/>
                                <w:color w:val="FFFFFF" w:themeColor="background1"/>
                                <w:kern w:val="24"/>
                                <w:sz w:val="18"/>
                                <w:szCs w:val="18"/>
                              </w:rPr>
                              <w:t xml:space="preserve">Web : </w:t>
                            </w:r>
                            <w:hyperlink r:id="rId84" w:history="1">
                              <w:r w:rsidRPr="00D76616">
                                <w:rPr>
                                  <w:rStyle w:val="Lienhypertexte"/>
                                  <w:rFonts w:ascii="Kohinoor Devanagari" w:hAnsi="Kohinoor Devanagari" w:cs="Kohinoor Devanagari"/>
                                  <w:color w:val="FFFFFF" w:themeColor="background1"/>
                                  <w:kern w:val="24"/>
                                  <w:sz w:val="18"/>
                                  <w:szCs w:val="18"/>
                                </w:rPr>
                                <w:t>https://enerteam.tn/</w:t>
                              </w:r>
                            </w:hyperlink>
                            <w:r>
                              <w:rPr>
                                <w:rFonts w:ascii="Kohinoor Devanagari" w:hAnsi="Kohinoor Devanagari" w:cs="Kohinoor Devanagari"/>
                                <w:color w:val="FFFFFF" w:themeColor="background1"/>
                                <w:kern w:val="24"/>
                                <w:sz w:val="20"/>
                                <w:szCs w:val="20"/>
                              </w:rPr>
                              <w:t xml:space="preserve"> </w:t>
                            </w:r>
                            <w:r w:rsidRPr="0071397D">
                              <w:rPr>
                                <w:rFonts w:ascii="Kohinoor Devanagari" w:hAnsi="Kohinoor Devanagari" w:cs="Kohinoor Devanagari"/>
                                <w:color w:val="FFFFFF" w:themeColor="background1"/>
                                <w:kern w:val="24"/>
                                <w:sz w:val="20"/>
                                <w:szCs w:val="20"/>
                              </w:rPr>
                              <w:t xml:space="preserve"> </w:t>
                            </w:r>
                          </w:p>
                          <w:p w14:paraId="06E06C2F" w14:textId="77777777" w:rsidR="00876EFD" w:rsidRPr="00B03CAD" w:rsidRDefault="00876EFD" w:rsidP="00876EFD">
                            <w:pPr>
                              <w:spacing w:after="60"/>
                              <w:textAlignment w:val="baseline"/>
                              <w:rPr>
                                <w:rFonts w:ascii="Kohinoor Devanagari" w:hAnsi="Kohinoor Devanagari" w:cs="Kohinoor Devanagari"/>
                                <w:color w:val="44546A" w:themeColor="text2"/>
                                <w:kern w:val="24"/>
                                <w:sz w:val="16"/>
                                <w:szCs w:val="16"/>
                              </w:rPr>
                            </w:pPr>
                            <w:r w:rsidRPr="00B03CAD">
                              <w:rPr>
                                <w:rFonts w:ascii="Calibri" w:hAnsi="Calibri" w:cs="Calibri"/>
                                <w:color w:val="44546A" w:themeColor="text2"/>
                                <w:kern w:val="24"/>
                                <w:sz w:val="16"/>
                                <w:szCs w:val="16"/>
                              </w:rPr>
                              <w:t> </w:t>
                            </w: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0EBC0E50" id="Rectangle 1" o:spid="_x0000_s1026" style="position:absolute;margin-left:80.35pt;margin-top:117.1pt;width:378pt;height:153.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" filled="f" stroked="f">
                <v:textbox>
                  <w:txbxContent>
                    <w:p w14:paraId="31E6EAC8"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Immeuble Ennour 6ème étage</w:t>
                      </w:r>
                    </w:p>
                    <w:p w14:paraId="02C9CEA8"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Centre Urbain Nord</w:t>
                      </w:r>
                    </w:p>
                    <w:p w14:paraId="1309A7E6"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1082 Tunis – TUNISIE</w:t>
                      </w:r>
                    </w:p>
                    <w:p w14:paraId="747AE41E" w14:textId="77777777" w:rsidR="00876EFD" w:rsidRPr="00D76616" w:rsidRDefault="00876EFD" w:rsidP="00876EFD">
                      <w:pPr>
                        <w:spacing w:after="60"/>
                        <w:jc w:val="right"/>
                        <w:textAlignment w:val="baseline"/>
                        <w:rPr>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Tél : +216 36 36 29 54</w:t>
                      </w:r>
                    </w:p>
                    <w:p w14:paraId="298E4145" w14:textId="77777777" w:rsidR="00876EFD" w:rsidRPr="00D76616" w:rsidRDefault="00876EFD" w:rsidP="00876EFD">
                      <w:pPr>
                        <w:spacing w:after="60"/>
                        <w:jc w:val="right"/>
                        <w:textAlignment w:val="baseline"/>
                        <w:rPr>
                          <w:rStyle w:val="Lienhypertexte"/>
                          <w:rFonts w:ascii="Kohinoor Devanagari" w:hAnsi="Kohinoor Devanagari" w:cs="Kohinoor Devanagari"/>
                          <w:color w:val="FFFFFF" w:themeColor="background1"/>
                          <w:kern w:val="24"/>
                          <w:sz w:val="18"/>
                          <w:szCs w:val="18"/>
                        </w:rPr>
                      </w:pPr>
                      <w:r w:rsidRPr="00D76616">
                        <w:rPr>
                          <w:rFonts w:ascii="Kohinoor Devanagari" w:hAnsi="Kohinoor Devanagari" w:cs="Kohinoor Devanagari"/>
                          <w:color w:val="FFFFFF" w:themeColor="background1"/>
                          <w:kern w:val="24"/>
                          <w:sz w:val="18"/>
                          <w:szCs w:val="18"/>
                        </w:rPr>
                        <w:t xml:space="preserve">Mail : </w:t>
                      </w:r>
                      <w:hyperlink r:id="rId85" w:history="1">
                        <w:r w:rsidRPr="00D76616">
                          <w:rPr>
                            <w:rStyle w:val="Lienhypertexte"/>
                            <w:rFonts w:ascii="Kohinoor Devanagari" w:hAnsi="Kohinoor Devanagari" w:cs="Kohinoor Devanagari"/>
                            <w:color w:val="FFFFFF" w:themeColor="background1"/>
                            <w:kern w:val="24"/>
                            <w:sz w:val="18"/>
                            <w:szCs w:val="18"/>
                          </w:rPr>
                          <w:t>enerteam@enerteam.tn</w:t>
                        </w:r>
                      </w:hyperlink>
                    </w:p>
                    <w:p w14:paraId="516ABCF9" w14:textId="77777777" w:rsidR="00876EFD" w:rsidRPr="0071397D" w:rsidRDefault="00876EFD" w:rsidP="00876EFD">
                      <w:pPr>
                        <w:spacing w:after="60"/>
                        <w:jc w:val="right"/>
                        <w:textAlignment w:val="baseline"/>
                        <w:rPr>
                          <w:rFonts w:ascii="Kohinoor Devanagari" w:hAnsi="Kohinoor Devanagari" w:cs="Kohinoor Devanagari"/>
                          <w:color w:val="FFFFFF" w:themeColor="background1"/>
                          <w:kern w:val="24"/>
                          <w:sz w:val="20"/>
                          <w:szCs w:val="20"/>
                        </w:rPr>
                      </w:pPr>
                      <w:r w:rsidRPr="00D76616">
                        <w:rPr>
                          <w:rFonts w:ascii="Kohinoor Devanagari" w:hAnsi="Kohinoor Devanagari" w:cs="Kohinoor Devanagari"/>
                          <w:color w:val="FFFFFF" w:themeColor="background1"/>
                          <w:kern w:val="24"/>
                          <w:sz w:val="18"/>
                          <w:szCs w:val="18"/>
                        </w:rPr>
                        <w:t xml:space="preserve">Web : </w:t>
                      </w:r>
                      <w:hyperlink r:id="rId86" w:history="1">
                        <w:r w:rsidRPr="00D76616">
                          <w:rPr>
                            <w:rStyle w:val="Lienhypertexte"/>
                            <w:rFonts w:ascii="Kohinoor Devanagari" w:hAnsi="Kohinoor Devanagari" w:cs="Kohinoor Devanagari"/>
                            <w:color w:val="FFFFFF" w:themeColor="background1"/>
                            <w:kern w:val="24"/>
                            <w:sz w:val="18"/>
                            <w:szCs w:val="18"/>
                          </w:rPr>
                          <w:t>https://enerteam.tn/</w:t>
                        </w:r>
                      </w:hyperlink>
                      <w:r>
                        <w:rPr>
                          <w:rFonts w:ascii="Kohinoor Devanagari" w:hAnsi="Kohinoor Devanagari" w:cs="Kohinoor Devanagari"/>
                          <w:color w:val="FFFFFF" w:themeColor="background1"/>
                          <w:kern w:val="24"/>
                          <w:sz w:val="20"/>
                          <w:szCs w:val="20"/>
                        </w:rPr>
                        <w:t xml:space="preserve"> </w:t>
                      </w:r>
                      <w:r w:rsidRPr="0071397D">
                        <w:rPr>
                          <w:rFonts w:ascii="Kohinoor Devanagari" w:hAnsi="Kohinoor Devanagari" w:cs="Kohinoor Devanagari"/>
                          <w:color w:val="FFFFFF" w:themeColor="background1"/>
                          <w:kern w:val="24"/>
                          <w:sz w:val="20"/>
                          <w:szCs w:val="20"/>
                        </w:rPr>
                        <w:t xml:space="preserve"> </w:t>
                      </w:r>
                    </w:p>
                    <w:p w14:paraId="06E06C2F" w14:textId="77777777" w:rsidR="00876EFD" w:rsidRPr="00B03CAD" w:rsidRDefault="00876EFD" w:rsidP="00876EFD">
                      <w:pPr>
                        <w:spacing w:after="60"/>
                        <w:textAlignment w:val="baseline"/>
                        <w:rPr>
                          <w:rFonts w:ascii="Kohinoor Devanagari" w:hAnsi="Kohinoor Devanagari" w:cs="Kohinoor Devanagari"/>
                          <w:color w:val="44546A" w:themeColor="text2"/>
                          <w:kern w:val="24"/>
                          <w:sz w:val="16"/>
                          <w:szCs w:val="16"/>
                        </w:rPr>
                      </w:pPr>
                      <w:r w:rsidRPr="00B03CAD">
                        <w:rPr>
                          <w:rFonts w:ascii="Calibri" w:hAnsi="Calibri" w:cs="Calibri"/>
                          <w:color w:val="44546A" w:themeColor="text2"/>
                          <w:kern w:val="24"/>
                          <w:sz w:val="16"/>
                          <w:szCs w:val="16"/>
                        </w:rPr>
                        <w:t> </w:t>
                      </w:r>
                    </w:p>
                  </w:txbxContent>
                </v:textbox>
              </v:rect>
            </w:pict>
          </mc:Fallback>
        </mc:AlternateContent>
      </w:r>
      <w:r w:rsidR="00876EFD" w:rsidRPr="009B3188">
        <w:rPr>
          <w:rFonts w:ascii="Kohinoor Devanagari" w:hAnsi="Kohinoor Devanagari" w:cs="Kohinoor Devanagari"/>
          <w:noProof/>
          <w:lang w:eastAsia="fr-FR"/>
        </w:rPr>
        <w:drawing>
          <wp:anchor distT="0" distB="0" distL="114300" distR="114300" simplePos="0" relativeHeight="251629056" behindDoc="1" locked="0" layoutInCell="1" allowOverlap="1" wp14:anchorId="2150639B" wp14:editId="6993186E">
            <wp:simplePos x="0" y="0"/>
            <wp:positionH relativeFrom="column">
              <wp:posOffset>3863291</wp:posOffset>
            </wp:positionH>
            <wp:positionV relativeFrom="paragraph">
              <wp:posOffset>1046040</wp:posOffset>
            </wp:positionV>
            <wp:extent cx="1943100" cy="299085"/>
            <wp:effectExtent l="0" t="0" r="0" b="5715"/>
            <wp:wrapTight wrapText="bothSides">
              <wp:wrapPolygon edited="0">
                <wp:start x="847" y="0"/>
                <wp:lineTo x="0" y="9631"/>
                <wp:lineTo x="0" y="12382"/>
                <wp:lineTo x="847" y="20637"/>
                <wp:lineTo x="21388" y="20637"/>
                <wp:lineTo x="21388" y="1376"/>
                <wp:lineTo x="4024" y="0"/>
                <wp:lineTo x="847" y="0"/>
              </wp:wrapPolygon>
            </wp:wrapTight>
            <wp:docPr id="1209531995" name="Picture 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43100" cy="299085"/>
                    </a:xfrm>
                    <a:prstGeom prst="rect">
                      <a:avLst/>
                    </a:prstGeom>
                  </pic:spPr>
                </pic:pic>
              </a:graphicData>
            </a:graphic>
            <wp14:sizeRelH relativeFrom="margin">
              <wp14:pctWidth>0</wp14:pctWidth>
            </wp14:sizeRelH>
            <wp14:sizeRelV relativeFrom="margin">
              <wp14:pctHeight>0</wp14:pctHeight>
            </wp14:sizeRelV>
          </wp:anchor>
        </w:drawing>
      </w:r>
    </w:p>
    <w:p w14:paraId="385E2494" w14:textId="4CF57872" w:rsidR="007822EA" w:rsidRPr="009B3188" w:rsidRDefault="007822EA" w:rsidP="004B3AA3">
      <w:pPr>
        <w:spacing w:after="0" w:line="240" w:lineRule="auto"/>
        <w:rPr>
          <w:rFonts w:ascii="Kohinoor Devanagari" w:eastAsia="Times New Roman" w:hAnsi="Kohinoor Devanagari" w:cs="Kohinoor Devanagari"/>
          <w:color w:val="000000" w:themeColor="text1"/>
          <w:kern w:val="0"/>
          <w:lang w:eastAsia="fr-FR"/>
          <w14:ligatures w14:val="none"/>
        </w:rPr>
      </w:pPr>
    </w:p>
    <w:sectPr w:rsidR="007822EA" w:rsidRPr="009B318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60DA18" w14:textId="77777777" w:rsidR="00C26137" w:rsidRDefault="00C26137" w:rsidP="006F1008">
      <w:pPr>
        <w:spacing w:after="0" w:line="240" w:lineRule="auto"/>
      </w:pPr>
      <w:r>
        <w:separator/>
      </w:r>
    </w:p>
  </w:endnote>
  <w:endnote w:type="continuationSeparator" w:id="0">
    <w:p w14:paraId="241DD8FC" w14:textId="77777777" w:rsidR="00C26137" w:rsidRDefault="00C26137" w:rsidP="006F1008">
      <w:pPr>
        <w:spacing w:after="0" w:line="240" w:lineRule="auto"/>
      </w:pPr>
      <w:r>
        <w:continuationSeparator/>
      </w:r>
    </w:p>
  </w:endnote>
  <w:endnote w:type="continuationNotice" w:id="1">
    <w:p w14:paraId="0840D058" w14:textId="77777777" w:rsidR="00C26137" w:rsidRDefault="00C261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albaum Text">
    <w:charset w:val="00"/>
    <w:family w:val="roman"/>
    <w:pitch w:val="variable"/>
    <w:sig w:usb0="8000002F" w:usb1="0000000A"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Corps)">
    <w:altName w:val="Calibri"/>
    <w:charset w:val="00"/>
    <w:family w:val="roman"/>
    <w:pitch w:val="default"/>
  </w:font>
  <w:font w:name="Segoe UI">
    <w:panose1 w:val="020B0502040204020203"/>
    <w:charset w:val="00"/>
    <w:family w:val="swiss"/>
    <w:pitch w:val="variable"/>
    <w:sig w:usb0="E4002EFF" w:usb1="C000E47F" w:usb2="00000009" w:usb3="00000000" w:csb0="000001FF" w:csb1="00000000"/>
  </w:font>
  <w:font w:name="Kohinoor Devanagari">
    <w:altName w:val="Mangal"/>
    <w:charset w:val="4D"/>
    <w:family w:val="auto"/>
    <w:pitch w:val="variable"/>
    <w:sig w:usb0="00008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6952739"/>
      <w:docPartObj>
        <w:docPartGallery w:val="Page Numbers (Bottom of Page)"/>
        <w:docPartUnique/>
      </w:docPartObj>
    </w:sdtPr>
    <w:sdtEndPr/>
    <w:sdtContent>
      <w:p w14:paraId="0362C6C0" w14:textId="77777777" w:rsidR="004218C6" w:rsidRPr="004218C6" w:rsidRDefault="004218C6" w:rsidP="004218C6">
        <w:r w:rsidRPr="004218C6">
          <w:fldChar w:fldCharType="begin"/>
        </w:r>
        <w:r w:rsidRPr="004218C6">
          <w:instrText xml:space="preserve"> PAGE </w:instrText>
        </w:r>
        <w:r w:rsidRPr="004218C6">
          <w:fldChar w:fldCharType="separate"/>
        </w:r>
        <w:r w:rsidRPr="004218C6">
          <w:t>1</w:t>
        </w:r>
        <w:r w:rsidRPr="004218C6">
          <w:fldChar w:fldCharType="end"/>
        </w:r>
      </w:p>
    </w:sdtContent>
  </w:sdt>
  <w:p w14:paraId="7F6F741C" w14:textId="77777777" w:rsidR="004218C6" w:rsidRPr="004218C6" w:rsidRDefault="004218C6" w:rsidP="004218C6"/>
  <w:p w14:paraId="71C6577F" w14:textId="77777777" w:rsidR="004218C6" w:rsidRPr="004218C6" w:rsidRDefault="004218C6" w:rsidP="004218C6"/>
  <w:p w14:paraId="611790C1" w14:textId="77777777" w:rsidR="004218C6" w:rsidRPr="004218C6" w:rsidRDefault="004218C6" w:rsidP="004218C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B0522B" w14:textId="7645BE2D" w:rsidR="004218C6" w:rsidRPr="004218C6" w:rsidRDefault="004218C6" w:rsidP="004218C6"/>
  <w:p w14:paraId="244D1BE8" w14:textId="77777777" w:rsidR="004218C6" w:rsidRPr="004218C6" w:rsidRDefault="004218C6" w:rsidP="004218C6"/>
  <w:p w14:paraId="3D34566B" w14:textId="7CC938B0" w:rsidR="004218C6" w:rsidRPr="004218C6" w:rsidRDefault="004218C6" w:rsidP="004218C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6718B" w14:textId="58D88151" w:rsidR="004218C6" w:rsidRPr="000A59F3" w:rsidRDefault="000A59F3" w:rsidP="000A59F3">
    <w:pPr>
      <w:pStyle w:val="Pieddepage"/>
      <w:jc w:val="right"/>
      <w:rPr>
        <w:rFonts w:ascii="Kohinoor Devanagari" w:hAnsi="Kohinoor Devanagari" w:cs="Kohinoor Devanagari"/>
        <w:sz w:val="16"/>
        <w:szCs w:val="16"/>
      </w:rPr>
    </w:pPr>
    <w:r w:rsidRPr="00315A4E">
      <w:rPr>
        <w:rFonts w:ascii="Kohinoor Devanagari" w:hAnsi="Kohinoor Devanagari" w:cs="Kohinoor Devanagari"/>
        <w:color w:val="61BC4D"/>
        <w:sz w:val="16"/>
        <w:szCs w:val="16"/>
      </w:rPr>
      <w:t>Enerteam</w:t>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0B663D">
      <w:rPr>
        <w:noProof/>
      </w:rPr>
      <mc:AlternateContent>
        <mc:Choice Requires="wpg">
          <w:drawing>
            <wp:inline distT="0" distB="0" distL="0" distR="0" wp14:anchorId="29D26243" wp14:editId="4F8C6A58">
              <wp:extent cx="280670" cy="94615"/>
              <wp:effectExtent l="2540" t="1905" r="2540" b="8255"/>
              <wp:docPr id="72175106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94615"/>
                        <a:chOff x="8013" y="200"/>
                        <a:chExt cx="442" cy="149"/>
                      </a:xfrm>
                    </wpg:grpSpPr>
                    <wps:wsp>
                      <wps:cNvPr id="2088865063" name="docshape26"/>
                      <wps:cNvSpPr>
                        <a:spLocks/>
                      </wps:cNvSpPr>
                      <wps:spPr bwMode="auto">
                        <a:xfrm>
                          <a:off x="8013" y="274"/>
                          <a:ext cx="442" cy="74"/>
                        </a:xfrm>
                        <a:custGeom>
                          <a:avLst/>
                          <a:gdLst>
                            <a:gd name="T0" fmla="*/ 333 w 442"/>
                            <a:gd name="T1" fmla="*/ 275 h 74"/>
                            <a:gd name="T2" fmla="*/ 0 w 442"/>
                            <a:gd name="T3" fmla="*/ 275 h 74"/>
                            <a:gd name="T4" fmla="*/ 442 w 442"/>
                            <a:gd name="T5" fmla="*/ 349 h 74"/>
                            <a:gd name="T6" fmla="*/ 333 w 442"/>
                            <a:gd name="T7" fmla="*/ 275 h 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4">
                              <a:moveTo>
                                <a:pt x="333" y="0"/>
                              </a:moveTo>
                              <a:lnTo>
                                <a:pt x="0" y="0"/>
                              </a:lnTo>
                              <a:lnTo>
                                <a:pt x="442" y="74"/>
                              </a:lnTo>
                              <a:lnTo>
                                <a:pt x="333" y="0"/>
                              </a:lnTo>
                              <a:close/>
                            </a:path>
                          </a:pathLst>
                        </a:custGeom>
                        <a:solidFill>
                          <a:srgbClr val="61B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1393507" name="docshape27"/>
                      <wps:cNvSpPr>
                        <a:spLocks/>
                      </wps:cNvSpPr>
                      <wps:spPr bwMode="auto">
                        <a:xfrm>
                          <a:off x="8013" y="199"/>
                          <a:ext cx="442" cy="75"/>
                        </a:xfrm>
                        <a:custGeom>
                          <a:avLst/>
                          <a:gdLst>
                            <a:gd name="T0" fmla="*/ 442 w 442"/>
                            <a:gd name="T1" fmla="*/ 200 h 75"/>
                            <a:gd name="T2" fmla="*/ 0 w 442"/>
                            <a:gd name="T3" fmla="*/ 275 h 75"/>
                            <a:gd name="T4" fmla="*/ 333 w 442"/>
                            <a:gd name="T5" fmla="*/ 275 h 75"/>
                            <a:gd name="T6" fmla="*/ 442 w 442"/>
                            <a:gd name="T7" fmla="*/ 200 h 7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5">
                              <a:moveTo>
                                <a:pt x="442" y="0"/>
                              </a:moveTo>
                              <a:lnTo>
                                <a:pt x="0" y="75"/>
                              </a:lnTo>
                              <a:lnTo>
                                <a:pt x="333" y="75"/>
                              </a:lnTo>
                              <a:lnTo>
                                <a:pt x="442" y="0"/>
                              </a:lnTo>
                              <a:close/>
                            </a:path>
                          </a:pathLst>
                        </a:custGeom>
                        <a:solidFill>
                          <a:srgbClr val="B8D9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856548" name="docshape28"/>
                      <wps:cNvSpPr>
                        <a:spLocks/>
                      </wps:cNvSpPr>
                      <wps:spPr bwMode="auto">
                        <a:xfrm>
                          <a:off x="8346" y="199"/>
                          <a:ext cx="109" cy="149"/>
                        </a:xfrm>
                        <a:custGeom>
                          <a:avLst/>
                          <a:gdLst>
                            <a:gd name="T0" fmla="*/ 109 w 109"/>
                            <a:gd name="T1" fmla="*/ 200 h 149"/>
                            <a:gd name="T2" fmla="*/ 0 w 109"/>
                            <a:gd name="T3" fmla="*/ 275 h 149"/>
                            <a:gd name="T4" fmla="*/ 109 w 109"/>
                            <a:gd name="T5" fmla="*/ 349 h 149"/>
                            <a:gd name="T6" fmla="*/ 109 w 109"/>
                            <a:gd name="T7" fmla="*/ 200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9" h="149">
                              <a:moveTo>
                                <a:pt x="109" y="0"/>
                              </a:moveTo>
                              <a:lnTo>
                                <a:pt x="0" y="75"/>
                              </a:lnTo>
                              <a:lnTo>
                                <a:pt x="109" y="149"/>
                              </a:lnTo>
                              <a:lnTo>
                                <a:pt x="109" y="0"/>
                              </a:lnTo>
                              <a:close/>
                            </a:path>
                          </a:pathLst>
                        </a:custGeom>
                        <a:solidFill>
                          <a:srgbClr val="8DC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C32593" id="Group 25" o:spid="_x0000_s1026" style="width:22.1pt;height:7.45pt;mso-position-horizontal-relative:char;mso-position-vertical-relative:line" coordorigin="8013,200" coordsize="4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">
              <v:shape id="docshape26" o:spid="_x0000_s1027" style="position:absolute;left:8013;top:274;width:442;height:74;visibility:visible;mso-wrap-style:square;v-text-anchor:top" coordsize="4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" path="m333,l,,442,74,333,xe" fillcolor="#61bc4d" stroked="f">
                <v:path arrowok="t" o:connecttype="custom" o:connectlocs="333,275;0,275;442,349;333,275" o:connectangles="0,0,0,0"/>
              </v:shape>
              <v:shape id="docshape27" o:spid="_x0000_s1028" style="position:absolute;left:8013;top:199;width:442;height: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" path="m442,l,75r333,l442,xe" fillcolor="#b8d982" stroked="f">
                <v:path arrowok="t" o:connecttype="custom" o:connectlocs="442,200;0,275;333,275;442,200" o:connectangles="0,0,0,0"/>
              </v:shape>
              <v:shape id="docshape28" o:spid="_x0000_s1029" style="position:absolute;left:8346;top:199;width:109;height:149;visibility:visible;mso-wrap-style:square;v-text-anchor:top" coordsize="10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" path="m109,l,75r109,74l109,xe" fillcolor="#8dc858" stroked="f">
                <v:path arrowok="t" o:connecttype="custom" o:connectlocs="109,200;0,275;109,349;109,200" o:connectangles="0,0,0,0"/>
              </v:shape>
              <w10:anchorlock/>
            </v:group>
          </w:pict>
        </mc:Fallback>
      </mc:AlternateContent>
    </w:r>
    <w:r w:rsidRPr="004F27D7">
      <w:rPr>
        <w:rStyle w:val="Numrodepage"/>
        <w:rFonts w:ascii="Kohinoor Devanagari" w:hAnsi="Kohinoor Devanagari" w:cs="Kohinoor Devanagari"/>
        <w:sz w:val="16"/>
        <w:szCs w:val="16"/>
      </w:rPr>
      <w:t xml:space="preserve"> </w:t>
    </w:r>
    <w:sdt>
      <w:sdtPr>
        <w:rPr>
          <w:rStyle w:val="Numrodepage"/>
          <w:rFonts w:ascii="Kohinoor Devanagari" w:hAnsi="Kohinoor Devanagari" w:cs="Kohinoor Devanagari"/>
          <w:sz w:val="16"/>
          <w:szCs w:val="16"/>
        </w:rPr>
        <w:id w:val="236991516"/>
        <w:docPartObj>
          <w:docPartGallery w:val="Page Numbers (Bottom of Page)"/>
          <w:docPartUnique/>
        </w:docPartObj>
      </w:sdtPr>
      <w:sdtEndPr>
        <w:rPr>
          <w:rStyle w:val="Numrodepage"/>
        </w:rPr>
      </w:sdtEndPr>
      <w:sdtContent>
        <w:r w:rsidRPr="00004BD2">
          <w:rPr>
            <w:rStyle w:val="Numrodepage"/>
            <w:rFonts w:ascii="Kohinoor Devanagari" w:hAnsi="Kohinoor Devanagari" w:cs="Kohinoor Devanagari"/>
            <w:sz w:val="16"/>
            <w:szCs w:val="16"/>
          </w:rPr>
          <w:fldChar w:fldCharType="begin"/>
        </w:r>
        <w:r w:rsidRPr="00004BD2">
          <w:rPr>
            <w:rStyle w:val="Numrodepage"/>
            <w:rFonts w:ascii="Kohinoor Devanagari" w:hAnsi="Kohinoor Devanagari" w:cs="Kohinoor Devanagari"/>
            <w:sz w:val="16"/>
            <w:szCs w:val="16"/>
          </w:rPr>
          <w:instrText xml:space="preserve"> PAGE </w:instrText>
        </w:r>
        <w:r w:rsidRPr="00004BD2">
          <w:rPr>
            <w:rStyle w:val="Numrodepage"/>
            <w:rFonts w:ascii="Kohinoor Devanagari" w:hAnsi="Kohinoor Devanagari" w:cs="Kohinoor Devanagari"/>
            <w:sz w:val="16"/>
            <w:szCs w:val="16"/>
          </w:rPr>
          <w:fldChar w:fldCharType="separate"/>
        </w:r>
        <w:r>
          <w:rPr>
            <w:rStyle w:val="Numrodepage"/>
            <w:rFonts w:ascii="Kohinoor Devanagari" w:hAnsi="Kohinoor Devanagari" w:cs="Kohinoor Devanagari"/>
            <w:sz w:val="16"/>
            <w:szCs w:val="16"/>
          </w:rPr>
          <w:t>74</w:t>
        </w:r>
        <w:r w:rsidRPr="00004BD2">
          <w:rPr>
            <w:rStyle w:val="Numrodepage"/>
            <w:rFonts w:ascii="Kohinoor Devanagari" w:hAnsi="Kohinoor Devanagari" w:cs="Kohinoor Devanagari"/>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7FDCA" w14:textId="55024A37" w:rsidR="006F1008" w:rsidRPr="00BB2C39" w:rsidRDefault="00BB2C39" w:rsidP="00BB2C39">
    <w:pPr>
      <w:pStyle w:val="Pieddepage"/>
      <w:jc w:val="right"/>
      <w:rPr>
        <w:rFonts w:ascii="Kohinoor Devanagari" w:hAnsi="Kohinoor Devanagari" w:cs="Kohinoor Devanagari"/>
        <w:sz w:val="16"/>
        <w:szCs w:val="16"/>
      </w:rPr>
    </w:pPr>
    <w:r w:rsidRPr="00315A4E">
      <w:rPr>
        <w:rFonts w:ascii="Kohinoor Devanagari" w:hAnsi="Kohinoor Devanagari" w:cs="Kohinoor Devanagari"/>
        <w:color w:val="61BC4D"/>
        <w:sz w:val="16"/>
        <w:szCs w:val="16"/>
      </w:rPr>
      <w:t>Enerteam</w:t>
    </w:r>
    <w:r w:rsidR="00387EF3">
      <w:tab/>
    </w:r>
    <w:r w:rsidR="00387EF3">
      <w:tab/>
    </w:r>
    <w:r w:rsidR="000B663D">
      <w:rPr>
        <w:noProof/>
      </w:rPr>
      <mc:AlternateContent>
        <mc:Choice Requires="wpg">
          <w:drawing>
            <wp:inline distT="0" distB="0" distL="0" distR="0" wp14:anchorId="45134CCA" wp14:editId="78F11D69">
              <wp:extent cx="280670" cy="94615"/>
              <wp:effectExtent l="7620" t="6350" r="6985" b="3810"/>
              <wp:docPr id="93440233"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94615"/>
                        <a:chOff x="8013" y="200"/>
                        <a:chExt cx="442" cy="149"/>
                      </a:xfrm>
                    </wpg:grpSpPr>
                    <wps:wsp>
                      <wps:cNvPr id="278431423" name="docshape26"/>
                      <wps:cNvSpPr>
                        <a:spLocks/>
                      </wps:cNvSpPr>
                      <wps:spPr bwMode="auto">
                        <a:xfrm>
                          <a:off x="8013" y="274"/>
                          <a:ext cx="442" cy="74"/>
                        </a:xfrm>
                        <a:custGeom>
                          <a:avLst/>
                          <a:gdLst>
                            <a:gd name="T0" fmla="*/ 333 w 442"/>
                            <a:gd name="T1" fmla="*/ 275 h 74"/>
                            <a:gd name="T2" fmla="*/ 0 w 442"/>
                            <a:gd name="T3" fmla="*/ 275 h 74"/>
                            <a:gd name="T4" fmla="*/ 442 w 442"/>
                            <a:gd name="T5" fmla="*/ 349 h 74"/>
                            <a:gd name="T6" fmla="*/ 333 w 442"/>
                            <a:gd name="T7" fmla="*/ 275 h 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4">
                              <a:moveTo>
                                <a:pt x="333" y="0"/>
                              </a:moveTo>
                              <a:lnTo>
                                <a:pt x="0" y="0"/>
                              </a:lnTo>
                              <a:lnTo>
                                <a:pt x="442" y="74"/>
                              </a:lnTo>
                              <a:lnTo>
                                <a:pt x="333" y="0"/>
                              </a:lnTo>
                              <a:close/>
                            </a:path>
                          </a:pathLst>
                        </a:custGeom>
                        <a:solidFill>
                          <a:srgbClr val="61B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409248" name="docshape27"/>
                      <wps:cNvSpPr>
                        <a:spLocks/>
                      </wps:cNvSpPr>
                      <wps:spPr bwMode="auto">
                        <a:xfrm>
                          <a:off x="8013" y="199"/>
                          <a:ext cx="442" cy="75"/>
                        </a:xfrm>
                        <a:custGeom>
                          <a:avLst/>
                          <a:gdLst>
                            <a:gd name="T0" fmla="*/ 442 w 442"/>
                            <a:gd name="T1" fmla="*/ 200 h 75"/>
                            <a:gd name="T2" fmla="*/ 0 w 442"/>
                            <a:gd name="T3" fmla="*/ 275 h 75"/>
                            <a:gd name="T4" fmla="*/ 333 w 442"/>
                            <a:gd name="T5" fmla="*/ 275 h 75"/>
                            <a:gd name="T6" fmla="*/ 442 w 442"/>
                            <a:gd name="T7" fmla="*/ 200 h 7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5">
                              <a:moveTo>
                                <a:pt x="442" y="0"/>
                              </a:moveTo>
                              <a:lnTo>
                                <a:pt x="0" y="75"/>
                              </a:lnTo>
                              <a:lnTo>
                                <a:pt x="333" y="75"/>
                              </a:lnTo>
                              <a:lnTo>
                                <a:pt x="442" y="0"/>
                              </a:lnTo>
                              <a:close/>
                            </a:path>
                          </a:pathLst>
                        </a:custGeom>
                        <a:solidFill>
                          <a:srgbClr val="B8D9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75553" name="docshape28"/>
                      <wps:cNvSpPr>
                        <a:spLocks/>
                      </wps:cNvSpPr>
                      <wps:spPr bwMode="auto">
                        <a:xfrm>
                          <a:off x="8346" y="199"/>
                          <a:ext cx="109" cy="149"/>
                        </a:xfrm>
                        <a:custGeom>
                          <a:avLst/>
                          <a:gdLst>
                            <a:gd name="T0" fmla="*/ 109 w 109"/>
                            <a:gd name="T1" fmla="*/ 200 h 149"/>
                            <a:gd name="T2" fmla="*/ 0 w 109"/>
                            <a:gd name="T3" fmla="*/ 275 h 149"/>
                            <a:gd name="T4" fmla="*/ 109 w 109"/>
                            <a:gd name="T5" fmla="*/ 349 h 149"/>
                            <a:gd name="T6" fmla="*/ 109 w 109"/>
                            <a:gd name="T7" fmla="*/ 200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9" h="149">
                              <a:moveTo>
                                <a:pt x="109" y="0"/>
                              </a:moveTo>
                              <a:lnTo>
                                <a:pt x="0" y="75"/>
                              </a:lnTo>
                              <a:lnTo>
                                <a:pt x="109" y="149"/>
                              </a:lnTo>
                              <a:lnTo>
                                <a:pt x="109" y="0"/>
                              </a:lnTo>
                              <a:close/>
                            </a:path>
                          </a:pathLst>
                        </a:custGeom>
                        <a:solidFill>
                          <a:srgbClr val="8DC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C8F5782" id="Group 30" o:spid="_x0000_s1026" style="width:22.1pt;height:7.45pt;mso-position-horizontal-relative:char;mso-position-vertical-relative:line" coordorigin="8013,200" coordsize="4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">
              <v:shape id="docshape26" o:spid="_x0000_s1027" style="position:absolute;left:8013;top:274;width:442;height:74;visibility:visible;mso-wrap-style:square;v-text-anchor:top" coordsize="4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" path="m333,l,,442,74,333,xe" fillcolor="#61bc4d" stroked="f">
                <v:path arrowok="t" o:connecttype="custom" o:connectlocs="333,275;0,275;442,349;333,275" o:connectangles="0,0,0,0"/>
              </v:shape>
              <v:shape id="docshape27" o:spid="_x0000_s1028" style="position:absolute;left:8013;top:199;width:442;height: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" path="m442,l,75r333,l442,xe" fillcolor="#b8d982" stroked="f">
                <v:path arrowok="t" o:connecttype="custom" o:connectlocs="442,200;0,275;333,275;442,200" o:connectangles="0,0,0,0"/>
              </v:shape>
              <v:shape id="docshape28" o:spid="_x0000_s1029" style="position:absolute;left:8346;top:199;width:109;height:149;visibility:visible;mso-wrap-style:square;v-text-anchor:top" coordsize="10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" path="m109,l,75r109,74l109,xe" fillcolor="#8dc858" stroked="f">
                <v:path arrowok="t" o:connecttype="custom" o:connectlocs="109,200;0,275;109,349;109,200" o:connectangles="0,0,0,0"/>
              </v:shape>
              <w10:anchorlock/>
            </v:group>
          </w:pict>
        </mc:Fallback>
      </mc:AlternateContent>
    </w:r>
    <w:r w:rsidRPr="004F27D7">
      <w:rPr>
        <w:rStyle w:val="Numrodepage"/>
        <w:rFonts w:ascii="Kohinoor Devanagari" w:hAnsi="Kohinoor Devanagari" w:cs="Kohinoor Devanagari"/>
        <w:sz w:val="16"/>
        <w:szCs w:val="16"/>
      </w:rPr>
      <w:t xml:space="preserve"> </w:t>
    </w:r>
    <w:sdt>
      <w:sdtPr>
        <w:rPr>
          <w:rStyle w:val="Numrodepage"/>
          <w:rFonts w:ascii="Kohinoor Devanagari" w:hAnsi="Kohinoor Devanagari" w:cs="Kohinoor Devanagari"/>
          <w:sz w:val="16"/>
          <w:szCs w:val="16"/>
        </w:rPr>
        <w:id w:val="552281140"/>
        <w:docPartObj>
          <w:docPartGallery w:val="Page Numbers (Bottom of Page)"/>
          <w:docPartUnique/>
        </w:docPartObj>
      </w:sdtPr>
      <w:sdtEndPr>
        <w:rPr>
          <w:rStyle w:val="Numrodepage"/>
        </w:rPr>
      </w:sdtEndPr>
      <w:sdtContent>
        <w:r w:rsidRPr="00004BD2">
          <w:rPr>
            <w:rStyle w:val="Numrodepage"/>
            <w:rFonts w:ascii="Kohinoor Devanagari" w:hAnsi="Kohinoor Devanagari" w:cs="Kohinoor Devanagari"/>
            <w:sz w:val="16"/>
            <w:szCs w:val="16"/>
          </w:rPr>
          <w:fldChar w:fldCharType="begin"/>
        </w:r>
        <w:r w:rsidRPr="00004BD2">
          <w:rPr>
            <w:rStyle w:val="Numrodepage"/>
            <w:rFonts w:ascii="Kohinoor Devanagari" w:hAnsi="Kohinoor Devanagari" w:cs="Kohinoor Devanagari"/>
            <w:sz w:val="16"/>
            <w:szCs w:val="16"/>
          </w:rPr>
          <w:instrText xml:space="preserve"> PAGE </w:instrText>
        </w:r>
        <w:r w:rsidRPr="00004BD2">
          <w:rPr>
            <w:rStyle w:val="Numrodepage"/>
            <w:rFonts w:ascii="Kohinoor Devanagari" w:hAnsi="Kohinoor Devanagari" w:cs="Kohinoor Devanagari"/>
            <w:sz w:val="16"/>
            <w:szCs w:val="16"/>
          </w:rPr>
          <w:fldChar w:fldCharType="separate"/>
        </w:r>
        <w:r>
          <w:rPr>
            <w:rStyle w:val="Numrodepage"/>
            <w:rFonts w:ascii="Kohinoor Devanagari" w:hAnsi="Kohinoor Devanagari" w:cs="Kohinoor Devanagari"/>
            <w:sz w:val="16"/>
            <w:szCs w:val="16"/>
          </w:rPr>
          <w:t>74</w:t>
        </w:r>
        <w:r w:rsidRPr="00004BD2">
          <w:rPr>
            <w:rStyle w:val="Numrodepage"/>
            <w:rFonts w:ascii="Kohinoor Devanagari" w:hAnsi="Kohinoor Devanagari" w:cs="Kohinoor Devanagari"/>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BBA15" w14:textId="2C0F16AC" w:rsidR="008F2F6D" w:rsidRPr="008F2F6D" w:rsidRDefault="008F2F6D" w:rsidP="008F2F6D">
    <w:pPr>
      <w:pStyle w:val="Pieddepage"/>
      <w:jc w:val="right"/>
      <w:rPr>
        <w:rFonts w:ascii="Kohinoor Devanagari" w:hAnsi="Kohinoor Devanagari" w:cs="Kohinoor Devanagari"/>
        <w:sz w:val="16"/>
        <w:szCs w:val="16"/>
      </w:rPr>
    </w:pPr>
    <w:r w:rsidRPr="009B5563">
      <w:rPr>
        <w:rFonts w:ascii="Kohinoor Devanagari" w:hAnsi="Kohinoor Devanagari" w:cs="Kohinoor Devanagari"/>
        <w:color w:val="61BC4D"/>
        <w:sz w:val="16"/>
        <w:szCs w:val="16"/>
      </w:rPr>
      <w:t>Enerteam</w:t>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rsidR="000B663D">
      <w:rPr>
        <w:noProof/>
      </w:rPr>
      <mc:AlternateContent>
        <mc:Choice Requires="wpg">
          <w:drawing>
            <wp:inline distT="0" distB="0" distL="0" distR="0" wp14:anchorId="296ACB99" wp14:editId="03A35561">
              <wp:extent cx="280670" cy="94615"/>
              <wp:effectExtent l="4445" t="8255" r="635" b="1905"/>
              <wp:docPr id="134991294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94615"/>
                        <a:chOff x="8013" y="200"/>
                        <a:chExt cx="442" cy="149"/>
                      </a:xfrm>
                    </wpg:grpSpPr>
                    <wps:wsp>
                      <wps:cNvPr id="899272103" name="docshape26"/>
                      <wps:cNvSpPr>
                        <a:spLocks/>
                      </wps:cNvSpPr>
                      <wps:spPr bwMode="auto">
                        <a:xfrm>
                          <a:off x="8013" y="274"/>
                          <a:ext cx="442" cy="74"/>
                        </a:xfrm>
                        <a:custGeom>
                          <a:avLst/>
                          <a:gdLst>
                            <a:gd name="T0" fmla="*/ 333 w 442"/>
                            <a:gd name="T1" fmla="*/ 275 h 74"/>
                            <a:gd name="T2" fmla="*/ 0 w 442"/>
                            <a:gd name="T3" fmla="*/ 275 h 74"/>
                            <a:gd name="T4" fmla="*/ 442 w 442"/>
                            <a:gd name="T5" fmla="*/ 349 h 74"/>
                            <a:gd name="T6" fmla="*/ 333 w 442"/>
                            <a:gd name="T7" fmla="*/ 275 h 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4">
                              <a:moveTo>
                                <a:pt x="333" y="0"/>
                              </a:moveTo>
                              <a:lnTo>
                                <a:pt x="0" y="0"/>
                              </a:lnTo>
                              <a:lnTo>
                                <a:pt x="442" y="74"/>
                              </a:lnTo>
                              <a:lnTo>
                                <a:pt x="333" y="0"/>
                              </a:lnTo>
                              <a:close/>
                            </a:path>
                          </a:pathLst>
                        </a:custGeom>
                        <a:solidFill>
                          <a:srgbClr val="61B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197796" name="docshape27"/>
                      <wps:cNvSpPr>
                        <a:spLocks/>
                      </wps:cNvSpPr>
                      <wps:spPr bwMode="auto">
                        <a:xfrm>
                          <a:off x="8013" y="199"/>
                          <a:ext cx="442" cy="75"/>
                        </a:xfrm>
                        <a:custGeom>
                          <a:avLst/>
                          <a:gdLst>
                            <a:gd name="T0" fmla="*/ 442 w 442"/>
                            <a:gd name="T1" fmla="*/ 200 h 75"/>
                            <a:gd name="T2" fmla="*/ 0 w 442"/>
                            <a:gd name="T3" fmla="*/ 275 h 75"/>
                            <a:gd name="T4" fmla="*/ 333 w 442"/>
                            <a:gd name="T5" fmla="*/ 275 h 75"/>
                            <a:gd name="T6" fmla="*/ 442 w 442"/>
                            <a:gd name="T7" fmla="*/ 200 h 7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5">
                              <a:moveTo>
                                <a:pt x="442" y="0"/>
                              </a:moveTo>
                              <a:lnTo>
                                <a:pt x="0" y="75"/>
                              </a:lnTo>
                              <a:lnTo>
                                <a:pt x="333" y="75"/>
                              </a:lnTo>
                              <a:lnTo>
                                <a:pt x="442" y="0"/>
                              </a:lnTo>
                              <a:close/>
                            </a:path>
                          </a:pathLst>
                        </a:custGeom>
                        <a:solidFill>
                          <a:srgbClr val="B8D9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178930" name="docshape28"/>
                      <wps:cNvSpPr>
                        <a:spLocks/>
                      </wps:cNvSpPr>
                      <wps:spPr bwMode="auto">
                        <a:xfrm>
                          <a:off x="8346" y="199"/>
                          <a:ext cx="109" cy="149"/>
                        </a:xfrm>
                        <a:custGeom>
                          <a:avLst/>
                          <a:gdLst>
                            <a:gd name="T0" fmla="*/ 109 w 109"/>
                            <a:gd name="T1" fmla="*/ 200 h 149"/>
                            <a:gd name="T2" fmla="*/ 0 w 109"/>
                            <a:gd name="T3" fmla="*/ 275 h 149"/>
                            <a:gd name="T4" fmla="*/ 109 w 109"/>
                            <a:gd name="T5" fmla="*/ 349 h 149"/>
                            <a:gd name="T6" fmla="*/ 109 w 109"/>
                            <a:gd name="T7" fmla="*/ 200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9" h="149">
                              <a:moveTo>
                                <a:pt x="109" y="0"/>
                              </a:moveTo>
                              <a:lnTo>
                                <a:pt x="0" y="75"/>
                              </a:lnTo>
                              <a:lnTo>
                                <a:pt x="109" y="149"/>
                              </a:lnTo>
                              <a:lnTo>
                                <a:pt x="109" y="0"/>
                              </a:lnTo>
                              <a:close/>
                            </a:path>
                          </a:pathLst>
                        </a:custGeom>
                        <a:solidFill>
                          <a:srgbClr val="8DC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4582862" id="Group 22" o:spid="_x0000_s1026" style="width:22.1pt;height:7.45pt;mso-position-horizontal-relative:char;mso-position-vertical-relative:line" coordorigin="8013,200" coordsize="4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">
              <v:shape id="docshape26" o:spid="_x0000_s1027" style="position:absolute;left:8013;top:274;width:442;height:74;visibility:visible;mso-wrap-style:square;v-text-anchor:top" coordsize="4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" path="m333,l,,442,74,333,xe" fillcolor="#61bc4d" stroked="f">
                <v:path arrowok="t" o:connecttype="custom" o:connectlocs="333,275;0,275;442,349;333,275" o:connectangles="0,0,0,0"/>
              </v:shape>
              <v:shape id="docshape27" o:spid="_x0000_s1028" style="position:absolute;left:8013;top:199;width:442;height: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" path="m442,l,75r333,l442,xe" fillcolor="#b8d982" stroked="f">
                <v:path arrowok="t" o:connecttype="custom" o:connectlocs="442,200;0,275;333,275;442,200" o:connectangles="0,0,0,0"/>
              </v:shape>
              <v:shape id="docshape28" o:spid="_x0000_s1029" style="position:absolute;left:8346;top:199;width:109;height:149;visibility:visible;mso-wrap-style:square;v-text-anchor:top" coordsize="10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" path="m109,l,75r109,74l109,xe" fillcolor="#8dc858" stroked="f">
                <v:path arrowok="t" o:connecttype="custom" o:connectlocs="109,200;0,275;109,349;109,200" o:connectangles="0,0,0,0"/>
              </v:shape>
              <w10:anchorlock/>
            </v:group>
          </w:pict>
        </mc:Fallback>
      </mc:AlternateContent>
    </w:r>
    <w:r w:rsidRPr="004F27D7">
      <w:rPr>
        <w:rStyle w:val="Numrodepage"/>
        <w:rFonts w:ascii="Kohinoor Devanagari" w:hAnsi="Kohinoor Devanagari" w:cs="Kohinoor Devanagari"/>
        <w:sz w:val="16"/>
        <w:szCs w:val="16"/>
      </w:rPr>
      <w:t xml:space="preserve"> </w:t>
    </w:r>
    <w:sdt>
      <w:sdtPr>
        <w:rPr>
          <w:rStyle w:val="Numrodepage"/>
          <w:rFonts w:ascii="Kohinoor Devanagari" w:hAnsi="Kohinoor Devanagari" w:cs="Kohinoor Devanagari"/>
          <w:sz w:val="16"/>
          <w:szCs w:val="16"/>
        </w:rPr>
        <w:id w:val="35860542"/>
        <w:docPartObj>
          <w:docPartGallery w:val="Page Numbers (Bottom of Page)"/>
          <w:docPartUnique/>
        </w:docPartObj>
      </w:sdtPr>
      <w:sdtEndPr>
        <w:rPr>
          <w:rStyle w:val="Numrodepage"/>
        </w:rPr>
      </w:sdtEndPr>
      <w:sdtContent>
        <w:r w:rsidRPr="00004BD2">
          <w:rPr>
            <w:rStyle w:val="Numrodepage"/>
            <w:rFonts w:ascii="Kohinoor Devanagari" w:hAnsi="Kohinoor Devanagari" w:cs="Kohinoor Devanagari"/>
            <w:sz w:val="16"/>
            <w:szCs w:val="16"/>
          </w:rPr>
          <w:fldChar w:fldCharType="begin"/>
        </w:r>
        <w:r w:rsidRPr="00004BD2">
          <w:rPr>
            <w:rStyle w:val="Numrodepage"/>
            <w:rFonts w:ascii="Kohinoor Devanagari" w:hAnsi="Kohinoor Devanagari" w:cs="Kohinoor Devanagari"/>
            <w:sz w:val="16"/>
            <w:szCs w:val="16"/>
          </w:rPr>
          <w:instrText xml:space="preserve"> PAGE </w:instrText>
        </w:r>
        <w:r w:rsidRPr="00004BD2">
          <w:rPr>
            <w:rStyle w:val="Numrodepage"/>
            <w:rFonts w:ascii="Kohinoor Devanagari" w:hAnsi="Kohinoor Devanagari" w:cs="Kohinoor Devanagari"/>
            <w:sz w:val="16"/>
            <w:szCs w:val="16"/>
          </w:rPr>
          <w:fldChar w:fldCharType="separate"/>
        </w:r>
        <w:r>
          <w:rPr>
            <w:rStyle w:val="Numrodepage"/>
            <w:rFonts w:ascii="Kohinoor Devanagari" w:hAnsi="Kohinoor Devanagari" w:cs="Kohinoor Devanagari"/>
            <w:sz w:val="16"/>
            <w:szCs w:val="16"/>
          </w:rPr>
          <w:t>108</w:t>
        </w:r>
        <w:r w:rsidRPr="00004BD2">
          <w:rPr>
            <w:rStyle w:val="Numrodepage"/>
            <w:rFonts w:ascii="Kohinoor Devanagari" w:hAnsi="Kohinoor Devanagari" w:cs="Kohinoor Devanagari"/>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83DA1" w14:textId="69719962" w:rsidR="008F2F6D" w:rsidRPr="008F2F6D" w:rsidRDefault="008F2F6D" w:rsidP="008F2F6D">
    <w:pPr>
      <w:pStyle w:val="Pieddepage"/>
      <w:jc w:val="right"/>
      <w:rPr>
        <w:rFonts w:ascii="Kohinoor Devanagari" w:hAnsi="Kohinoor Devanagari" w:cs="Kohinoor Devanagari"/>
        <w:sz w:val="16"/>
        <w:szCs w:val="16"/>
      </w:rPr>
    </w:pPr>
    <w:r w:rsidRPr="00315A4E">
      <w:rPr>
        <w:rFonts w:ascii="Kohinoor Devanagari" w:hAnsi="Kohinoor Devanagari" w:cs="Kohinoor Devanagari"/>
        <w:color w:val="61BC4D"/>
        <w:sz w:val="16"/>
        <w:szCs w:val="16"/>
      </w:rPr>
      <w:t>Enerteam</w:t>
    </w:r>
    <w:r w:rsidR="00387EF3">
      <w:rPr>
        <w:rFonts w:ascii="Kohinoor Devanagari" w:hAnsi="Kohinoor Devanagari" w:cs="Kohinoor Devanagari"/>
        <w:color w:val="61BC4D"/>
        <w:sz w:val="16"/>
        <w:szCs w:val="16"/>
      </w:rPr>
      <w:tab/>
    </w:r>
    <w:r w:rsidR="00387EF3">
      <w:rPr>
        <w:rFonts w:ascii="Kohinoor Devanagari" w:hAnsi="Kohinoor Devanagari" w:cs="Kohinoor Devanagari"/>
        <w:color w:val="61BC4D"/>
        <w:sz w:val="16"/>
        <w:szCs w:val="16"/>
      </w:rPr>
      <w:tab/>
    </w:r>
    <w:r>
      <w:t xml:space="preserve"> </w:t>
    </w:r>
    <w:r w:rsidR="000B663D">
      <w:rPr>
        <w:noProof/>
      </w:rPr>
      <mc:AlternateContent>
        <mc:Choice Requires="wpg">
          <w:drawing>
            <wp:inline distT="0" distB="0" distL="0" distR="0" wp14:anchorId="045E3CDF" wp14:editId="0B62D427">
              <wp:extent cx="280670" cy="94615"/>
              <wp:effectExtent l="6350" t="6350" r="8255" b="3810"/>
              <wp:docPr id="204368031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94615"/>
                        <a:chOff x="8013" y="200"/>
                        <a:chExt cx="442" cy="149"/>
                      </a:xfrm>
                    </wpg:grpSpPr>
                    <wps:wsp>
                      <wps:cNvPr id="1521460216" name="docshape26"/>
                      <wps:cNvSpPr>
                        <a:spLocks/>
                      </wps:cNvSpPr>
                      <wps:spPr bwMode="auto">
                        <a:xfrm>
                          <a:off x="8013" y="274"/>
                          <a:ext cx="442" cy="74"/>
                        </a:xfrm>
                        <a:custGeom>
                          <a:avLst/>
                          <a:gdLst>
                            <a:gd name="T0" fmla="*/ 333 w 442"/>
                            <a:gd name="T1" fmla="*/ 275 h 74"/>
                            <a:gd name="T2" fmla="*/ 0 w 442"/>
                            <a:gd name="T3" fmla="*/ 275 h 74"/>
                            <a:gd name="T4" fmla="*/ 442 w 442"/>
                            <a:gd name="T5" fmla="*/ 349 h 74"/>
                            <a:gd name="T6" fmla="*/ 333 w 442"/>
                            <a:gd name="T7" fmla="*/ 275 h 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4">
                              <a:moveTo>
                                <a:pt x="333" y="0"/>
                              </a:moveTo>
                              <a:lnTo>
                                <a:pt x="0" y="0"/>
                              </a:lnTo>
                              <a:lnTo>
                                <a:pt x="442" y="74"/>
                              </a:lnTo>
                              <a:lnTo>
                                <a:pt x="333" y="0"/>
                              </a:lnTo>
                              <a:close/>
                            </a:path>
                          </a:pathLst>
                        </a:custGeom>
                        <a:solidFill>
                          <a:srgbClr val="61B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111954" name="docshape27"/>
                      <wps:cNvSpPr>
                        <a:spLocks/>
                      </wps:cNvSpPr>
                      <wps:spPr bwMode="auto">
                        <a:xfrm>
                          <a:off x="8013" y="199"/>
                          <a:ext cx="442" cy="75"/>
                        </a:xfrm>
                        <a:custGeom>
                          <a:avLst/>
                          <a:gdLst>
                            <a:gd name="T0" fmla="*/ 442 w 442"/>
                            <a:gd name="T1" fmla="*/ 200 h 75"/>
                            <a:gd name="T2" fmla="*/ 0 w 442"/>
                            <a:gd name="T3" fmla="*/ 275 h 75"/>
                            <a:gd name="T4" fmla="*/ 333 w 442"/>
                            <a:gd name="T5" fmla="*/ 275 h 75"/>
                            <a:gd name="T6" fmla="*/ 442 w 442"/>
                            <a:gd name="T7" fmla="*/ 200 h 7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5">
                              <a:moveTo>
                                <a:pt x="442" y="0"/>
                              </a:moveTo>
                              <a:lnTo>
                                <a:pt x="0" y="75"/>
                              </a:lnTo>
                              <a:lnTo>
                                <a:pt x="333" y="75"/>
                              </a:lnTo>
                              <a:lnTo>
                                <a:pt x="442" y="0"/>
                              </a:lnTo>
                              <a:close/>
                            </a:path>
                          </a:pathLst>
                        </a:custGeom>
                        <a:solidFill>
                          <a:srgbClr val="B8D9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154267" name="docshape28"/>
                      <wps:cNvSpPr>
                        <a:spLocks/>
                      </wps:cNvSpPr>
                      <wps:spPr bwMode="auto">
                        <a:xfrm>
                          <a:off x="8346" y="199"/>
                          <a:ext cx="109" cy="149"/>
                        </a:xfrm>
                        <a:custGeom>
                          <a:avLst/>
                          <a:gdLst>
                            <a:gd name="T0" fmla="*/ 109 w 109"/>
                            <a:gd name="T1" fmla="*/ 200 h 149"/>
                            <a:gd name="T2" fmla="*/ 0 w 109"/>
                            <a:gd name="T3" fmla="*/ 275 h 149"/>
                            <a:gd name="T4" fmla="*/ 109 w 109"/>
                            <a:gd name="T5" fmla="*/ 349 h 149"/>
                            <a:gd name="T6" fmla="*/ 109 w 109"/>
                            <a:gd name="T7" fmla="*/ 200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9" h="149">
                              <a:moveTo>
                                <a:pt x="109" y="0"/>
                              </a:moveTo>
                              <a:lnTo>
                                <a:pt x="0" y="75"/>
                              </a:lnTo>
                              <a:lnTo>
                                <a:pt x="109" y="149"/>
                              </a:lnTo>
                              <a:lnTo>
                                <a:pt x="109" y="0"/>
                              </a:lnTo>
                              <a:close/>
                            </a:path>
                          </a:pathLst>
                        </a:custGeom>
                        <a:solidFill>
                          <a:srgbClr val="8DC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8D03191" id="Group 26" o:spid="_x0000_s1026" style="width:22.1pt;height:7.45pt;mso-position-horizontal-relative:char;mso-position-vertical-relative:line" coordorigin="8013,200" coordsize="4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">
              <v:shape id="docshape26" o:spid="_x0000_s1027" style="position:absolute;left:8013;top:274;width:442;height:74;visibility:visible;mso-wrap-style:square;v-text-anchor:top" coordsize="4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" path="m333,l,,442,74,333,xe" fillcolor="#61bc4d" stroked="f">
                <v:path arrowok="t" o:connecttype="custom" o:connectlocs="333,275;0,275;442,349;333,275" o:connectangles="0,0,0,0"/>
              </v:shape>
              <v:shape id="docshape27" o:spid="_x0000_s1028" style="position:absolute;left:8013;top:199;width:442;height: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" path="m442,l,75r333,l442,xe" fillcolor="#b8d982" stroked="f">
                <v:path arrowok="t" o:connecttype="custom" o:connectlocs="442,200;0,275;333,275;442,200" o:connectangles="0,0,0,0"/>
              </v:shape>
              <v:shape id="docshape28" o:spid="_x0000_s1029" style="position:absolute;left:8346;top:199;width:109;height:149;visibility:visible;mso-wrap-style:square;v-text-anchor:top" coordsize="10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" path="m109,l,75r109,74l109,xe" fillcolor="#8dc858" stroked="f">
                <v:path arrowok="t" o:connecttype="custom" o:connectlocs="109,200;0,275;109,349;109,200" o:connectangles="0,0,0,0"/>
              </v:shape>
              <w10:anchorlock/>
            </v:group>
          </w:pict>
        </mc:Fallback>
      </mc:AlternateContent>
    </w:r>
    <w:r w:rsidRPr="004F27D7">
      <w:rPr>
        <w:rStyle w:val="Numrodepage"/>
        <w:rFonts w:ascii="Kohinoor Devanagari" w:hAnsi="Kohinoor Devanagari" w:cs="Kohinoor Devanagari"/>
        <w:sz w:val="16"/>
        <w:szCs w:val="16"/>
      </w:rPr>
      <w:t xml:space="preserve"> </w:t>
    </w:r>
    <w:sdt>
      <w:sdtPr>
        <w:rPr>
          <w:rStyle w:val="Numrodepage"/>
          <w:rFonts w:ascii="Kohinoor Devanagari" w:hAnsi="Kohinoor Devanagari" w:cs="Kohinoor Devanagari"/>
          <w:sz w:val="16"/>
          <w:szCs w:val="16"/>
        </w:rPr>
        <w:id w:val="1554198877"/>
        <w:docPartObj>
          <w:docPartGallery w:val="Page Numbers (Bottom of Page)"/>
          <w:docPartUnique/>
        </w:docPartObj>
      </w:sdtPr>
      <w:sdtEndPr>
        <w:rPr>
          <w:rStyle w:val="Numrodepage"/>
        </w:rPr>
      </w:sdtEndPr>
      <w:sdtContent>
        <w:r w:rsidRPr="00004BD2">
          <w:rPr>
            <w:rStyle w:val="Numrodepage"/>
            <w:rFonts w:ascii="Kohinoor Devanagari" w:hAnsi="Kohinoor Devanagari" w:cs="Kohinoor Devanagari"/>
            <w:sz w:val="16"/>
            <w:szCs w:val="16"/>
          </w:rPr>
          <w:fldChar w:fldCharType="begin"/>
        </w:r>
        <w:r w:rsidRPr="00004BD2">
          <w:rPr>
            <w:rStyle w:val="Numrodepage"/>
            <w:rFonts w:ascii="Kohinoor Devanagari" w:hAnsi="Kohinoor Devanagari" w:cs="Kohinoor Devanagari"/>
            <w:sz w:val="16"/>
            <w:szCs w:val="16"/>
          </w:rPr>
          <w:instrText xml:space="preserve"> PAGE </w:instrText>
        </w:r>
        <w:r w:rsidRPr="00004BD2">
          <w:rPr>
            <w:rStyle w:val="Numrodepage"/>
            <w:rFonts w:ascii="Kohinoor Devanagari" w:hAnsi="Kohinoor Devanagari" w:cs="Kohinoor Devanagari"/>
            <w:sz w:val="16"/>
            <w:szCs w:val="16"/>
          </w:rPr>
          <w:fldChar w:fldCharType="separate"/>
        </w:r>
        <w:r>
          <w:rPr>
            <w:rStyle w:val="Numrodepage"/>
            <w:rFonts w:ascii="Kohinoor Devanagari" w:hAnsi="Kohinoor Devanagari" w:cs="Kohinoor Devanagari"/>
            <w:sz w:val="16"/>
            <w:szCs w:val="16"/>
          </w:rPr>
          <w:t>108</w:t>
        </w:r>
        <w:r w:rsidRPr="00004BD2">
          <w:rPr>
            <w:rStyle w:val="Numrodepage"/>
            <w:rFonts w:ascii="Kohinoor Devanagari" w:hAnsi="Kohinoor Devanagari" w:cs="Kohinoor Devanagari"/>
            <w:sz w:val="16"/>
            <w:szCs w:val="16"/>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ED2D5" w14:textId="77777777" w:rsidR="00786411" w:rsidRPr="008F2F6D" w:rsidRDefault="00786411" w:rsidP="008F2F6D">
    <w:pPr>
      <w:pStyle w:val="Pieddepage"/>
      <w:jc w:val="right"/>
      <w:rPr>
        <w:rFonts w:ascii="Kohinoor Devanagari" w:hAnsi="Kohinoor Devanagari" w:cs="Kohinoor Devanagari"/>
        <w:sz w:val="16"/>
        <w:szCs w:val="16"/>
      </w:rPr>
    </w:pPr>
    <w:r w:rsidRPr="00315A4E">
      <w:rPr>
        <w:rFonts w:ascii="Kohinoor Devanagari" w:hAnsi="Kohinoor Devanagari" w:cs="Kohinoor Devanagari"/>
        <w:color w:val="61BC4D"/>
        <w:sz w:val="16"/>
        <w:szCs w:val="16"/>
      </w:rPr>
      <w:t>Enerteam</w:t>
    </w:r>
    <w:r>
      <w:rPr>
        <w:rFonts w:ascii="Kohinoor Devanagari" w:hAnsi="Kohinoor Devanagari" w:cs="Kohinoor Devanagari"/>
        <w:color w:val="61BC4D"/>
        <w:sz w:val="16"/>
        <w:szCs w:val="16"/>
      </w:rPr>
      <w:tab/>
    </w:r>
    <w:r>
      <w:rPr>
        <w:rFonts w:ascii="Kohinoor Devanagari" w:hAnsi="Kohinoor Devanagari" w:cs="Kohinoor Devanagari"/>
        <w:color w:val="61BC4D"/>
        <w:sz w:val="16"/>
        <w:szCs w:val="16"/>
      </w:rPr>
      <w:tab/>
    </w:r>
    <w:r>
      <w:t xml:space="preserve"> </w:t>
    </w:r>
    <w:r>
      <w:rPr>
        <w:noProof/>
      </w:rPr>
      <mc:AlternateContent>
        <mc:Choice Requires="wpg">
          <w:drawing>
            <wp:inline distT="0" distB="0" distL="0" distR="0" wp14:anchorId="5DBAF358" wp14:editId="6816591F">
              <wp:extent cx="280670" cy="94615"/>
              <wp:effectExtent l="6350" t="6350" r="8255" b="3810"/>
              <wp:docPr id="161309090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94615"/>
                        <a:chOff x="8013" y="200"/>
                        <a:chExt cx="442" cy="149"/>
                      </a:xfrm>
                    </wpg:grpSpPr>
                    <wps:wsp>
                      <wps:cNvPr id="845803447" name="docshape26"/>
                      <wps:cNvSpPr>
                        <a:spLocks/>
                      </wps:cNvSpPr>
                      <wps:spPr bwMode="auto">
                        <a:xfrm>
                          <a:off x="8013" y="274"/>
                          <a:ext cx="442" cy="74"/>
                        </a:xfrm>
                        <a:custGeom>
                          <a:avLst/>
                          <a:gdLst>
                            <a:gd name="T0" fmla="*/ 333 w 442"/>
                            <a:gd name="T1" fmla="*/ 275 h 74"/>
                            <a:gd name="T2" fmla="*/ 0 w 442"/>
                            <a:gd name="T3" fmla="*/ 275 h 74"/>
                            <a:gd name="T4" fmla="*/ 442 w 442"/>
                            <a:gd name="T5" fmla="*/ 349 h 74"/>
                            <a:gd name="T6" fmla="*/ 333 w 442"/>
                            <a:gd name="T7" fmla="*/ 275 h 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4">
                              <a:moveTo>
                                <a:pt x="333" y="0"/>
                              </a:moveTo>
                              <a:lnTo>
                                <a:pt x="0" y="0"/>
                              </a:lnTo>
                              <a:lnTo>
                                <a:pt x="442" y="74"/>
                              </a:lnTo>
                              <a:lnTo>
                                <a:pt x="333" y="0"/>
                              </a:lnTo>
                              <a:close/>
                            </a:path>
                          </a:pathLst>
                        </a:custGeom>
                        <a:solidFill>
                          <a:srgbClr val="61B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852678" name="docshape27"/>
                      <wps:cNvSpPr>
                        <a:spLocks/>
                      </wps:cNvSpPr>
                      <wps:spPr bwMode="auto">
                        <a:xfrm>
                          <a:off x="8013" y="199"/>
                          <a:ext cx="442" cy="75"/>
                        </a:xfrm>
                        <a:custGeom>
                          <a:avLst/>
                          <a:gdLst>
                            <a:gd name="T0" fmla="*/ 442 w 442"/>
                            <a:gd name="T1" fmla="*/ 200 h 75"/>
                            <a:gd name="T2" fmla="*/ 0 w 442"/>
                            <a:gd name="T3" fmla="*/ 275 h 75"/>
                            <a:gd name="T4" fmla="*/ 333 w 442"/>
                            <a:gd name="T5" fmla="*/ 275 h 75"/>
                            <a:gd name="T6" fmla="*/ 442 w 442"/>
                            <a:gd name="T7" fmla="*/ 200 h 7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5">
                              <a:moveTo>
                                <a:pt x="442" y="0"/>
                              </a:moveTo>
                              <a:lnTo>
                                <a:pt x="0" y="75"/>
                              </a:lnTo>
                              <a:lnTo>
                                <a:pt x="333" y="75"/>
                              </a:lnTo>
                              <a:lnTo>
                                <a:pt x="442" y="0"/>
                              </a:lnTo>
                              <a:close/>
                            </a:path>
                          </a:pathLst>
                        </a:custGeom>
                        <a:solidFill>
                          <a:srgbClr val="B8D9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8298067" name="docshape28"/>
                      <wps:cNvSpPr>
                        <a:spLocks/>
                      </wps:cNvSpPr>
                      <wps:spPr bwMode="auto">
                        <a:xfrm>
                          <a:off x="8346" y="199"/>
                          <a:ext cx="109" cy="149"/>
                        </a:xfrm>
                        <a:custGeom>
                          <a:avLst/>
                          <a:gdLst>
                            <a:gd name="T0" fmla="*/ 109 w 109"/>
                            <a:gd name="T1" fmla="*/ 200 h 149"/>
                            <a:gd name="T2" fmla="*/ 0 w 109"/>
                            <a:gd name="T3" fmla="*/ 275 h 149"/>
                            <a:gd name="T4" fmla="*/ 109 w 109"/>
                            <a:gd name="T5" fmla="*/ 349 h 149"/>
                            <a:gd name="T6" fmla="*/ 109 w 109"/>
                            <a:gd name="T7" fmla="*/ 200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9" h="149">
                              <a:moveTo>
                                <a:pt x="109" y="0"/>
                              </a:moveTo>
                              <a:lnTo>
                                <a:pt x="0" y="75"/>
                              </a:lnTo>
                              <a:lnTo>
                                <a:pt x="109" y="149"/>
                              </a:lnTo>
                              <a:lnTo>
                                <a:pt x="109" y="0"/>
                              </a:lnTo>
                              <a:close/>
                            </a:path>
                          </a:pathLst>
                        </a:custGeom>
                        <a:solidFill>
                          <a:srgbClr val="8DC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8417E5D" id="Group 26" o:spid="_x0000_s1026" style="width:22.1pt;height:7.45pt;mso-position-horizontal-relative:char;mso-position-vertical-relative:line" coordorigin="8013,200" coordsize="4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">
              <v:shape id="docshape26" o:spid="_x0000_s1027" style="position:absolute;left:8013;top:274;width:442;height:74;visibility:visible;mso-wrap-style:square;v-text-anchor:top" coordsize="4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" path="m333,l,,442,74,333,xe" fillcolor="#61bc4d" stroked="f">
                <v:path arrowok="t" o:connecttype="custom" o:connectlocs="333,275;0,275;442,349;333,275" o:connectangles="0,0,0,0"/>
              </v:shape>
              <v:shape id="docshape27" o:spid="_x0000_s1028" style="position:absolute;left:8013;top:199;width:442;height: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" path="m442,l,75r333,l442,xe" fillcolor="#b8d982" stroked="f">
                <v:path arrowok="t" o:connecttype="custom" o:connectlocs="442,200;0,275;333,275;442,200" o:connectangles="0,0,0,0"/>
              </v:shape>
              <v:shape id="docshape28" o:spid="_x0000_s1029" style="position:absolute;left:8346;top:199;width:109;height:149;visibility:visible;mso-wrap-style:square;v-text-anchor:top" coordsize="10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" path="m109,l,75r109,74l109,xe" fillcolor="#8dc858" stroked="f">
                <v:path arrowok="t" o:connecttype="custom" o:connectlocs="109,200;0,275;109,349;109,200" o:connectangles="0,0,0,0"/>
              </v:shape>
              <w10:anchorlock/>
            </v:group>
          </w:pict>
        </mc:Fallback>
      </mc:AlternateContent>
    </w:r>
    <w:r w:rsidRPr="004F27D7">
      <w:rPr>
        <w:rStyle w:val="Numrodepage"/>
        <w:rFonts w:ascii="Kohinoor Devanagari" w:hAnsi="Kohinoor Devanagari" w:cs="Kohinoor Devanagari"/>
        <w:sz w:val="16"/>
        <w:szCs w:val="16"/>
      </w:rPr>
      <w:t xml:space="preserve"> </w:t>
    </w:r>
    <w:sdt>
      <w:sdtPr>
        <w:rPr>
          <w:rStyle w:val="Numrodepage"/>
          <w:rFonts w:ascii="Kohinoor Devanagari" w:hAnsi="Kohinoor Devanagari" w:cs="Kohinoor Devanagari"/>
          <w:sz w:val="16"/>
          <w:szCs w:val="16"/>
        </w:rPr>
        <w:id w:val="588207099"/>
        <w:docPartObj>
          <w:docPartGallery w:val="Page Numbers (Bottom of Page)"/>
          <w:docPartUnique/>
        </w:docPartObj>
      </w:sdtPr>
      <w:sdtEndPr>
        <w:rPr>
          <w:rStyle w:val="Numrodepage"/>
        </w:rPr>
      </w:sdtEndPr>
      <w:sdtContent>
        <w:r w:rsidRPr="00004BD2">
          <w:rPr>
            <w:rStyle w:val="Numrodepage"/>
            <w:rFonts w:ascii="Kohinoor Devanagari" w:hAnsi="Kohinoor Devanagari" w:cs="Kohinoor Devanagari"/>
            <w:sz w:val="16"/>
            <w:szCs w:val="16"/>
          </w:rPr>
          <w:fldChar w:fldCharType="begin"/>
        </w:r>
        <w:r w:rsidRPr="00004BD2">
          <w:rPr>
            <w:rStyle w:val="Numrodepage"/>
            <w:rFonts w:ascii="Kohinoor Devanagari" w:hAnsi="Kohinoor Devanagari" w:cs="Kohinoor Devanagari"/>
            <w:sz w:val="16"/>
            <w:szCs w:val="16"/>
          </w:rPr>
          <w:instrText xml:space="preserve"> PAGE </w:instrText>
        </w:r>
        <w:r w:rsidRPr="00004BD2">
          <w:rPr>
            <w:rStyle w:val="Numrodepage"/>
            <w:rFonts w:ascii="Kohinoor Devanagari" w:hAnsi="Kohinoor Devanagari" w:cs="Kohinoor Devanagari"/>
            <w:sz w:val="16"/>
            <w:szCs w:val="16"/>
          </w:rPr>
          <w:fldChar w:fldCharType="separate"/>
        </w:r>
        <w:r>
          <w:rPr>
            <w:rStyle w:val="Numrodepage"/>
            <w:rFonts w:ascii="Kohinoor Devanagari" w:hAnsi="Kohinoor Devanagari" w:cs="Kohinoor Devanagari"/>
            <w:sz w:val="16"/>
            <w:szCs w:val="16"/>
          </w:rPr>
          <w:t>108</w:t>
        </w:r>
        <w:r w:rsidRPr="00004BD2">
          <w:rPr>
            <w:rStyle w:val="Numrodepage"/>
            <w:rFonts w:ascii="Kohinoor Devanagari" w:hAnsi="Kohinoor Devanagari" w:cs="Kohinoor Devanagari"/>
            <w:sz w:val="16"/>
            <w:szCs w:val="16"/>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4F2E81" w14:textId="1B797877" w:rsidR="00876EFD" w:rsidRPr="00650A65" w:rsidRDefault="00E33AC8" w:rsidP="00650A65">
    <w:pPr>
      <w:pStyle w:val="Pieddepage"/>
      <w:jc w:val="right"/>
      <w:rPr>
        <w:rFonts w:ascii="Kohinoor Devanagari" w:hAnsi="Kohinoor Devanagari" w:cs="Kohinoor Devanagari"/>
        <w:sz w:val="16"/>
        <w:szCs w:val="16"/>
      </w:rPr>
    </w:pPr>
    <w:r w:rsidRPr="00BB2C39">
      <w:rPr>
        <w:rFonts w:ascii="Kohinoor Devanagari" w:hAnsi="Kohinoor Devanagari" w:cs="Kohinoor Devanagari"/>
        <w:color w:val="61BC4D"/>
        <w:sz w:val="16"/>
        <w:szCs w:val="16"/>
      </w:rPr>
      <w:t>Enerteam</w:t>
    </w:r>
    <w:r w:rsidR="00387EF3">
      <w:tab/>
    </w:r>
    <w:r w:rsidR="00387EF3">
      <w:tab/>
    </w:r>
    <w:r w:rsidR="000B663D">
      <w:rPr>
        <w:noProof/>
      </w:rPr>
      <mc:AlternateContent>
        <mc:Choice Requires="wpg">
          <w:drawing>
            <wp:inline distT="0" distB="0" distL="0" distR="0" wp14:anchorId="4298A40E" wp14:editId="77B2A539">
              <wp:extent cx="280670" cy="94615"/>
              <wp:effectExtent l="1270" t="1905" r="3810" b="8255"/>
              <wp:docPr id="26715882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670" cy="94615"/>
                        <a:chOff x="8013" y="200"/>
                        <a:chExt cx="442" cy="149"/>
                      </a:xfrm>
                    </wpg:grpSpPr>
                    <wps:wsp>
                      <wps:cNvPr id="732468117" name="docshape26"/>
                      <wps:cNvSpPr>
                        <a:spLocks/>
                      </wps:cNvSpPr>
                      <wps:spPr bwMode="auto">
                        <a:xfrm>
                          <a:off x="8013" y="274"/>
                          <a:ext cx="442" cy="74"/>
                        </a:xfrm>
                        <a:custGeom>
                          <a:avLst/>
                          <a:gdLst>
                            <a:gd name="T0" fmla="*/ 333 w 442"/>
                            <a:gd name="T1" fmla="*/ 275 h 74"/>
                            <a:gd name="T2" fmla="*/ 0 w 442"/>
                            <a:gd name="T3" fmla="*/ 275 h 74"/>
                            <a:gd name="T4" fmla="*/ 442 w 442"/>
                            <a:gd name="T5" fmla="*/ 349 h 74"/>
                            <a:gd name="T6" fmla="*/ 333 w 442"/>
                            <a:gd name="T7" fmla="*/ 275 h 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4">
                              <a:moveTo>
                                <a:pt x="333" y="0"/>
                              </a:moveTo>
                              <a:lnTo>
                                <a:pt x="0" y="0"/>
                              </a:lnTo>
                              <a:lnTo>
                                <a:pt x="442" y="74"/>
                              </a:lnTo>
                              <a:lnTo>
                                <a:pt x="333" y="0"/>
                              </a:lnTo>
                              <a:close/>
                            </a:path>
                          </a:pathLst>
                        </a:custGeom>
                        <a:solidFill>
                          <a:srgbClr val="61B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586174" name="docshape27"/>
                      <wps:cNvSpPr>
                        <a:spLocks/>
                      </wps:cNvSpPr>
                      <wps:spPr bwMode="auto">
                        <a:xfrm>
                          <a:off x="8013" y="199"/>
                          <a:ext cx="442" cy="75"/>
                        </a:xfrm>
                        <a:custGeom>
                          <a:avLst/>
                          <a:gdLst>
                            <a:gd name="T0" fmla="*/ 442 w 442"/>
                            <a:gd name="T1" fmla="*/ 200 h 75"/>
                            <a:gd name="T2" fmla="*/ 0 w 442"/>
                            <a:gd name="T3" fmla="*/ 275 h 75"/>
                            <a:gd name="T4" fmla="*/ 333 w 442"/>
                            <a:gd name="T5" fmla="*/ 275 h 75"/>
                            <a:gd name="T6" fmla="*/ 442 w 442"/>
                            <a:gd name="T7" fmla="*/ 200 h 7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2" h="75">
                              <a:moveTo>
                                <a:pt x="442" y="0"/>
                              </a:moveTo>
                              <a:lnTo>
                                <a:pt x="0" y="75"/>
                              </a:lnTo>
                              <a:lnTo>
                                <a:pt x="333" y="75"/>
                              </a:lnTo>
                              <a:lnTo>
                                <a:pt x="442" y="0"/>
                              </a:lnTo>
                              <a:close/>
                            </a:path>
                          </a:pathLst>
                        </a:custGeom>
                        <a:solidFill>
                          <a:srgbClr val="B8D9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04048" name="docshape28"/>
                      <wps:cNvSpPr>
                        <a:spLocks/>
                      </wps:cNvSpPr>
                      <wps:spPr bwMode="auto">
                        <a:xfrm>
                          <a:off x="8346" y="199"/>
                          <a:ext cx="109" cy="149"/>
                        </a:xfrm>
                        <a:custGeom>
                          <a:avLst/>
                          <a:gdLst>
                            <a:gd name="T0" fmla="*/ 109 w 109"/>
                            <a:gd name="T1" fmla="*/ 200 h 149"/>
                            <a:gd name="T2" fmla="*/ 0 w 109"/>
                            <a:gd name="T3" fmla="*/ 275 h 149"/>
                            <a:gd name="T4" fmla="*/ 109 w 109"/>
                            <a:gd name="T5" fmla="*/ 349 h 149"/>
                            <a:gd name="T6" fmla="*/ 109 w 109"/>
                            <a:gd name="T7" fmla="*/ 200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9" h="149">
                              <a:moveTo>
                                <a:pt x="109" y="0"/>
                              </a:moveTo>
                              <a:lnTo>
                                <a:pt x="0" y="75"/>
                              </a:lnTo>
                              <a:lnTo>
                                <a:pt x="109" y="149"/>
                              </a:lnTo>
                              <a:lnTo>
                                <a:pt x="109" y="0"/>
                              </a:lnTo>
                              <a:close/>
                            </a:path>
                          </a:pathLst>
                        </a:custGeom>
                        <a:solidFill>
                          <a:srgbClr val="8DC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938A3C" id="Group 10" o:spid="_x0000_s1026" style="width:22.1pt;height:7.45pt;mso-position-horizontal-relative:char;mso-position-vertical-relative:line" coordorigin="8013,200" coordsize="4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">
              <v:shape id="docshape26" o:spid="_x0000_s1027" style="position:absolute;left:8013;top:274;width:442;height:74;visibility:visible;mso-wrap-style:square;v-text-anchor:top" coordsize="4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" path="m333,l,,442,74,333,xe" fillcolor="#61bc4d" stroked="f">
                <v:path arrowok="t" o:connecttype="custom" o:connectlocs="333,275;0,275;442,349;333,275" o:connectangles="0,0,0,0"/>
              </v:shape>
              <v:shape id="docshape27" o:spid="_x0000_s1028" style="position:absolute;left:8013;top:199;width:442;height: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" path="m442,l,75r333,l442,xe" fillcolor="#b8d982" stroked="f">
                <v:path arrowok="t" o:connecttype="custom" o:connectlocs="442,200;0,275;333,275;442,200" o:connectangles="0,0,0,0"/>
              </v:shape>
              <v:shape id="docshape28" o:spid="_x0000_s1029" style="position:absolute;left:8346;top:199;width:109;height:149;visibility:visible;mso-wrap-style:square;v-text-anchor:top" coordsize="10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" path="m109,l,75r109,74l109,xe" fillcolor="#8dc858" stroked="f">
                <v:path arrowok="t" o:connecttype="custom" o:connectlocs="109,200;0,275;109,349;109,200" o:connectangles="0,0,0,0"/>
              </v:shape>
              <w10:anchorlock/>
            </v:group>
          </w:pict>
        </mc:Fallback>
      </mc:AlternateContent>
    </w:r>
    <w:r w:rsidR="00876EFD" w:rsidRPr="004F27D7">
      <w:rPr>
        <w:rStyle w:val="Numrodepage"/>
        <w:rFonts w:ascii="Kohinoor Devanagari" w:hAnsi="Kohinoor Devanagari" w:cs="Kohinoor Devanagari"/>
        <w:sz w:val="16"/>
        <w:szCs w:val="16"/>
      </w:rPr>
      <w:t xml:space="preserve"> </w:t>
    </w:r>
    <w:sdt>
      <w:sdtPr>
        <w:rPr>
          <w:rStyle w:val="Numrodepage"/>
          <w:rFonts w:ascii="Kohinoor Devanagari" w:hAnsi="Kohinoor Devanagari" w:cs="Kohinoor Devanagari"/>
          <w:sz w:val="16"/>
          <w:szCs w:val="16"/>
        </w:rPr>
        <w:id w:val="699820382"/>
        <w:docPartObj>
          <w:docPartGallery w:val="Page Numbers (Bottom of Page)"/>
          <w:docPartUnique/>
        </w:docPartObj>
      </w:sdtPr>
      <w:sdtEndPr>
        <w:rPr>
          <w:rStyle w:val="Numrodepage"/>
        </w:rPr>
      </w:sdtEndPr>
      <w:sdtContent>
        <w:r w:rsidR="00876EFD" w:rsidRPr="00004BD2">
          <w:rPr>
            <w:rStyle w:val="Numrodepage"/>
            <w:rFonts w:ascii="Kohinoor Devanagari" w:hAnsi="Kohinoor Devanagari" w:cs="Kohinoor Devanagari"/>
            <w:sz w:val="16"/>
            <w:szCs w:val="16"/>
          </w:rPr>
          <w:fldChar w:fldCharType="begin"/>
        </w:r>
        <w:r w:rsidR="00876EFD" w:rsidRPr="00004BD2">
          <w:rPr>
            <w:rStyle w:val="Numrodepage"/>
            <w:rFonts w:ascii="Kohinoor Devanagari" w:hAnsi="Kohinoor Devanagari" w:cs="Kohinoor Devanagari"/>
            <w:sz w:val="16"/>
            <w:szCs w:val="16"/>
          </w:rPr>
          <w:instrText xml:space="preserve"> PAGE </w:instrText>
        </w:r>
        <w:r w:rsidR="00876EFD" w:rsidRPr="00004BD2">
          <w:rPr>
            <w:rStyle w:val="Numrodepage"/>
            <w:rFonts w:ascii="Kohinoor Devanagari" w:hAnsi="Kohinoor Devanagari" w:cs="Kohinoor Devanagari"/>
            <w:sz w:val="16"/>
            <w:szCs w:val="16"/>
          </w:rPr>
          <w:fldChar w:fldCharType="separate"/>
        </w:r>
        <w:r w:rsidR="00876EFD">
          <w:rPr>
            <w:rStyle w:val="Numrodepage"/>
            <w:rFonts w:ascii="Kohinoor Devanagari" w:hAnsi="Kohinoor Devanagari" w:cs="Kohinoor Devanagari"/>
            <w:sz w:val="16"/>
            <w:szCs w:val="16"/>
          </w:rPr>
          <w:t>136</w:t>
        </w:r>
        <w:r w:rsidR="00876EFD" w:rsidRPr="00004BD2">
          <w:rPr>
            <w:rStyle w:val="Numrodepage"/>
            <w:rFonts w:ascii="Kohinoor Devanagari" w:hAnsi="Kohinoor Devanagari" w:cs="Kohinoor Devanagari"/>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6A5403" w14:textId="77777777" w:rsidR="00C26137" w:rsidRDefault="00C26137" w:rsidP="006F1008">
      <w:pPr>
        <w:spacing w:after="0" w:line="240" w:lineRule="auto"/>
      </w:pPr>
      <w:r>
        <w:separator/>
      </w:r>
    </w:p>
  </w:footnote>
  <w:footnote w:type="continuationSeparator" w:id="0">
    <w:p w14:paraId="3974472A" w14:textId="77777777" w:rsidR="00C26137" w:rsidRDefault="00C26137" w:rsidP="006F1008">
      <w:pPr>
        <w:spacing w:after="0" w:line="240" w:lineRule="auto"/>
      </w:pPr>
      <w:r>
        <w:continuationSeparator/>
      </w:r>
    </w:p>
  </w:footnote>
  <w:footnote w:type="continuationNotice" w:id="1">
    <w:p w14:paraId="3303A5BE" w14:textId="77777777" w:rsidR="00C26137" w:rsidRDefault="00C2613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BFF00" w14:textId="77777777" w:rsidR="004218C6" w:rsidRPr="004218C6" w:rsidRDefault="004218C6" w:rsidP="004218C6"/>
  <w:p w14:paraId="0662A06F" w14:textId="77777777" w:rsidR="004218C6" w:rsidRPr="004218C6" w:rsidRDefault="004218C6" w:rsidP="004218C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9F533" w14:textId="4AA0014B" w:rsidR="004218C6" w:rsidRPr="00DC76D7" w:rsidRDefault="00DC76D7" w:rsidP="00DC76D7">
    <w:pPr>
      <w:pStyle w:val="En-tte"/>
      <w:jc w:val="right"/>
      <w:rPr>
        <w:i/>
        <w:iCs/>
      </w:rPr>
    </w:pPr>
    <w:r w:rsidRPr="004A31D7">
      <w:rPr>
        <w:rFonts w:ascii="Trebuchet MS" w:hAnsi="Trebuchet MS"/>
        <w:i/>
        <w:iCs/>
        <w:color w:val="767171" w:themeColor="background2" w:themeShade="80"/>
        <w:sz w:val="16"/>
        <w:szCs w:val="16"/>
      </w:rPr>
      <w:t xml:space="preserve">Etude de faisabilité pour la divulgation systématique des données ITIE </w:t>
    </w:r>
    <w:r w:rsidR="00203100">
      <w:rPr>
        <w:rFonts w:ascii="Trebuchet MS" w:hAnsi="Trebuchet MS"/>
        <w:i/>
        <w:iCs/>
        <w:color w:val="767171" w:themeColor="background2" w:themeShade="80"/>
        <w:sz w:val="16"/>
        <w:szCs w:val="16"/>
      </w:rPr>
      <w:t>au Cameroun</w:t>
    </w:r>
    <w:r w:rsidRPr="004A31D7">
      <w:rPr>
        <w:rFonts w:ascii="Trebuchet MS" w:hAnsi="Trebuchet MS"/>
        <w:i/>
        <w:iCs/>
        <w:color w:val="767171" w:themeColor="background2" w:themeShade="80"/>
        <w:sz w:val="16"/>
        <w:szCs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0C533" w14:textId="4A1883A6" w:rsidR="004A31D7" w:rsidRPr="00315A4E" w:rsidRDefault="004A31D7" w:rsidP="004A31D7">
    <w:pPr>
      <w:pStyle w:val="En-tte"/>
      <w:jc w:val="right"/>
      <w:rPr>
        <w:rFonts w:ascii="Kohinoor Devanagari" w:hAnsi="Kohinoor Devanagari" w:cs="Kohinoor Devanagari"/>
        <w:i/>
        <w:iCs/>
        <w:color w:val="61BC4D"/>
      </w:rPr>
    </w:pPr>
    <w:r w:rsidRPr="00315A4E">
      <w:rPr>
        <w:rFonts w:ascii="Kohinoor Devanagari" w:hAnsi="Kohinoor Devanagari" w:cs="Kohinoor Devanagari"/>
        <w:i/>
        <w:iCs/>
        <w:color w:val="61BC4D"/>
        <w:sz w:val="16"/>
        <w:szCs w:val="16"/>
      </w:rPr>
      <w:t xml:space="preserve">Etude de faisabilité pour la divulgation systématique des données ITIE </w:t>
    </w:r>
    <w:r w:rsidR="00203100">
      <w:rPr>
        <w:rFonts w:ascii="Kohinoor Devanagari" w:hAnsi="Kohinoor Devanagari" w:cs="Kohinoor Devanagari"/>
        <w:i/>
        <w:iCs/>
        <w:color w:val="61BC4D"/>
        <w:sz w:val="16"/>
        <w:szCs w:val="16"/>
      </w:rPr>
      <w:t>au Cameroun</w:t>
    </w:r>
    <w:r w:rsidR="00E17141">
      <w:rPr>
        <w:rFonts w:ascii="Kohinoor Devanagari" w:hAnsi="Kohinoor Devanagari" w:cs="Kohinoor Devanagari"/>
        <w:i/>
        <w:iCs/>
        <w:color w:val="61BC4D"/>
        <w:sz w:val="16"/>
        <w:szCs w:val="16"/>
      </w:rPr>
      <w:t xml:space="preserve"> (version projet)</w:t>
    </w:r>
    <w:r w:rsidRPr="00315A4E">
      <w:rPr>
        <w:rFonts w:ascii="Kohinoor Devanagari" w:hAnsi="Kohinoor Devanagari" w:cs="Kohinoor Devanagari"/>
        <w:i/>
        <w:iCs/>
        <w:color w:val="61BC4D"/>
        <w:sz w:val="16"/>
        <w:szCs w:val="16"/>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6BF0F" w14:textId="77777777" w:rsidR="00786411" w:rsidRPr="00315A4E" w:rsidRDefault="00786411" w:rsidP="004A31D7">
    <w:pPr>
      <w:pStyle w:val="En-tte"/>
      <w:jc w:val="right"/>
      <w:rPr>
        <w:rFonts w:ascii="Kohinoor Devanagari" w:hAnsi="Kohinoor Devanagari" w:cs="Kohinoor Devanagari"/>
        <w:i/>
        <w:iCs/>
        <w:color w:val="61BC4D"/>
      </w:rPr>
    </w:pPr>
    <w:r w:rsidRPr="00315A4E">
      <w:rPr>
        <w:rFonts w:ascii="Kohinoor Devanagari" w:hAnsi="Kohinoor Devanagari" w:cs="Kohinoor Devanagari"/>
        <w:i/>
        <w:iCs/>
        <w:color w:val="61BC4D"/>
        <w:sz w:val="16"/>
        <w:szCs w:val="16"/>
      </w:rPr>
      <w:t xml:space="preserve">Etude de faisabilité pour la divulgation systématique des données ITIE </w:t>
    </w:r>
    <w:r>
      <w:rPr>
        <w:rFonts w:ascii="Kohinoor Devanagari" w:hAnsi="Kohinoor Devanagari" w:cs="Kohinoor Devanagari"/>
        <w:i/>
        <w:iCs/>
        <w:color w:val="61BC4D"/>
        <w:sz w:val="16"/>
        <w:szCs w:val="16"/>
      </w:rPr>
      <w:t>au Cameroun</w:t>
    </w:r>
    <w:r w:rsidRPr="00315A4E">
      <w:rPr>
        <w:rFonts w:ascii="Kohinoor Devanagari" w:hAnsi="Kohinoor Devanagari" w:cs="Kohinoor Devanagari"/>
        <w:i/>
        <w:iCs/>
        <w:color w:val="61BC4D"/>
        <w:sz w:val="16"/>
        <w:szCs w:val="16"/>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24E27" w14:textId="786C3A6C" w:rsidR="00786411" w:rsidRPr="00315A4E" w:rsidRDefault="00786411" w:rsidP="004A31D7">
    <w:pPr>
      <w:pStyle w:val="En-tte"/>
      <w:jc w:val="right"/>
      <w:rPr>
        <w:rFonts w:ascii="Kohinoor Devanagari" w:hAnsi="Kohinoor Devanagari" w:cs="Kohinoor Devanagari"/>
        <w:i/>
        <w:iCs/>
        <w:color w:val="61BC4D"/>
      </w:rPr>
    </w:pPr>
    <w:r w:rsidRPr="00315A4E">
      <w:rPr>
        <w:rFonts w:ascii="Kohinoor Devanagari" w:hAnsi="Kohinoor Devanagari" w:cs="Kohinoor Devanagari"/>
        <w:i/>
        <w:iCs/>
        <w:color w:val="61BC4D"/>
        <w:sz w:val="16"/>
        <w:szCs w:val="16"/>
      </w:rPr>
      <w:t xml:space="preserve">Etude de faisabilité pour la divulgation systématique des données ITIE </w:t>
    </w:r>
    <w:r>
      <w:rPr>
        <w:rFonts w:ascii="Kohinoor Devanagari" w:hAnsi="Kohinoor Devanagari" w:cs="Kohinoor Devanagari"/>
        <w:i/>
        <w:iCs/>
        <w:color w:val="61BC4D"/>
        <w:sz w:val="16"/>
        <w:szCs w:val="16"/>
      </w:rPr>
      <w:t>au Cameroun</w:t>
    </w:r>
    <w:r w:rsidRPr="00315A4E">
      <w:rPr>
        <w:rFonts w:ascii="Kohinoor Devanagari" w:hAnsi="Kohinoor Devanagari" w:cs="Kohinoor Devanagari"/>
        <w:i/>
        <w:iCs/>
        <w:color w:val="61BC4D"/>
        <w:sz w:val="16"/>
        <w:szCs w:val="16"/>
      </w:rPr>
      <w:t xml:space="preserve"> </w:t>
    </w:r>
    <w:r w:rsidR="003D3DAF">
      <w:rPr>
        <w:rFonts w:ascii="Kohinoor Devanagari" w:hAnsi="Kohinoor Devanagari" w:cs="Kohinoor Devanagari"/>
        <w:i/>
        <w:iCs/>
        <w:color w:val="61BC4D"/>
        <w:sz w:val="16"/>
        <w:szCs w:val="16"/>
      </w:rPr>
      <w:t>(version projet)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F3C129E"/>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54382F"/>
    <w:multiLevelType w:val="multilevel"/>
    <w:tmpl w:val="343EB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92D88"/>
    <w:multiLevelType w:val="multilevel"/>
    <w:tmpl w:val="0A862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714B8F"/>
    <w:multiLevelType w:val="multilevel"/>
    <w:tmpl w:val="DC3EE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C435D4"/>
    <w:multiLevelType w:val="multilevel"/>
    <w:tmpl w:val="6BEA5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AA4DB8"/>
    <w:multiLevelType w:val="multilevel"/>
    <w:tmpl w:val="A2504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346B47"/>
    <w:multiLevelType w:val="multilevel"/>
    <w:tmpl w:val="90267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7060D6"/>
    <w:multiLevelType w:val="multilevel"/>
    <w:tmpl w:val="99E679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4A906CC"/>
    <w:multiLevelType w:val="multilevel"/>
    <w:tmpl w:val="03ECE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4CD654D"/>
    <w:multiLevelType w:val="multilevel"/>
    <w:tmpl w:val="276CE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EB27F3"/>
    <w:multiLevelType w:val="multilevel"/>
    <w:tmpl w:val="94A85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445EEF"/>
    <w:multiLevelType w:val="multilevel"/>
    <w:tmpl w:val="FE2690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AB6462"/>
    <w:multiLevelType w:val="multilevel"/>
    <w:tmpl w:val="B20AC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7C65964"/>
    <w:multiLevelType w:val="multilevel"/>
    <w:tmpl w:val="1934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9135A9C"/>
    <w:multiLevelType w:val="multilevel"/>
    <w:tmpl w:val="CD002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287142"/>
    <w:multiLevelType w:val="multilevel"/>
    <w:tmpl w:val="68AE3C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9C275B0"/>
    <w:multiLevelType w:val="multilevel"/>
    <w:tmpl w:val="DFFAFBD6"/>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A406A22"/>
    <w:multiLevelType w:val="multilevel"/>
    <w:tmpl w:val="5470C3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6167FA"/>
    <w:multiLevelType w:val="multilevel"/>
    <w:tmpl w:val="4830A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8F30B8"/>
    <w:multiLevelType w:val="multilevel"/>
    <w:tmpl w:val="7D6610CC"/>
    <w:lvl w:ilvl="0">
      <w:start w:val="8"/>
      <w:numFmt w:val="decimal"/>
      <w:lvlText w:val="%1."/>
      <w:lvlJc w:val="left"/>
      <w:pPr>
        <w:ind w:left="435" w:hanging="435"/>
      </w:pPr>
      <w:rPr>
        <w:rFonts w:eastAsia="Times New Roman" w:hint="default"/>
        <w:color w:val="0D0D0D"/>
      </w:rPr>
    </w:lvl>
    <w:lvl w:ilvl="1">
      <w:start w:val="1"/>
      <w:numFmt w:val="decimal"/>
      <w:lvlText w:val="%1.%2."/>
      <w:lvlJc w:val="left"/>
      <w:pPr>
        <w:ind w:left="720" w:hanging="720"/>
      </w:pPr>
      <w:rPr>
        <w:rFonts w:eastAsia="Times New Roman" w:hint="default"/>
        <w:color w:val="0D0D0D"/>
      </w:rPr>
    </w:lvl>
    <w:lvl w:ilvl="2">
      <w:start w:val="1"/>
      <w:numFmt w:val="decimal"/>
      <w:lvlText w:val="%1.%2.%3."/>
      <w:lvlJc w:val="left"/>
      <w:pPr>
        <w:ind w:left="720" w:hanging="720"/>
      </w:pPr>
      <w:rPr>
        <w:rFonts w:eastAsia="Times New Roman" w:hint="default"/>
        <w:color w:val="0D0D0D"/>
      </w:rPr>
    </w:lvl>
    <w:lvl w:ilvl="3">
      <w:start w:val="1"/>
      <w:numFmt w:val="decimal"/>
      <w:lvlText w:val="%1.%2.%3.%4."/>
      <w:lvlJc w:val="left"/>
      <w:pPr>
        <w:ind w:left="1080" w:hanging="1080"/>
      </w:pPr>
      <w:rPr>
        <w:rFonts w:eastAsia="Times New Roman" w:hint="default"/>
        <w:color w:val="0D0D0D"/>
      </w:rPr>
    </w:lvl>
    <w:lvl w:ilvl="4">
      <w:start w:val="1"/>
      <w:numFmt w:val="decimal"/>
      <w:lvlText w:val="%1.%2.%3.%4.%5."/>
      <w:lvlJc w:val="left"/>
      <w:pPr>
        <w:ind w:left="1080" w:hanging="1080"/>
      </w:pPr>
      <w:rPr>
        <w:rFonts w:eastAsia="Times New Roman" w:hint="default"/>
        <w:color w:val="0D0D0D"/>
      </w:rPr>
    </w:lvl>
    <w:lvl w:ilvl="5">
      <w:start w:val="1"/>
      <w:numFmt w:val="decimal"/>
      <w:lvlText w:val="%1.%2.%3.%4.%5.%6."/>
      <w:lvlJc w:val="left"/>
      <w:pPr>
        <w:ind w:left="1440" w:hanging="1440"/>
      </w:pPr>
      <w:rPr>
        <w:rFonts w:eastAsia="Times New Roman" w:hint="default"/>
        <w:color w:val="0D0D0D"/>
      </w:rPr>
    </w:lvl>
    <w:lvl w:ilvl="6">
      <w:start w:val="1"/>
      <w:numFmt w:val="decimal"/>
      <w:lvlText w:val="%1.%2.%3.%4.%5.%6.%7."/>
      <w:lvlJc w:val="left"/>
      <w:pPr>
        <w:ind w:left="1440" w:hanging="1440"/>
      </w:pPr>
      <w:rPr>
        <w:rFonts w:eastAsia="Times New Roman" w:hint="default"/>
        <w:color w:val="0D0D0D"/>
      </w:rPr>
    </w:lvl>
    <w:lvl w:ilvl="7">
      <w:start w:val="1"/>
      <w:numFmt w:val="decimal"/>
      <w:lvlText w:val="%1.%2.%3.%4.%5.%6.%7.%8."/>
      <w:lvlJc w:val="left"/>
      <w:pPr>
        <w:ind w:left="1800" w:hanging="1800"/>
      </w:pPr>
      <w:rPr>
        <w:rFonts w:eastAsia="Times New Roman" w:hint="default"/>
        <w:color w:val="0D0D0D"/>
      </w:rPr>
    </w:lvl>
    <w:lvl w:ilvl="8">
      <w:start w:val="1"/>
      <w:numFmt w:val="decimal"/>
      <w:lvlText w:val="%1.%2.%3.%4.%5.%6.%7.%8.%9."/>
      <w:lvlJc w:val="left"/>
      <w:pPr>
        <w:ind w:left="1800" w:hanging="1800"/>
      </w:pPr>
      <w:rPr>
        <w:rFonts w:eastAsia="Times New Roman" w:hint="default"/>
        <w:color w:val="0D0D0D"/>
      </w:rPr>
    </w:lvl>
  </w:abstractNum>
  <w:abstractNum w:abstractNumId="20" w15:restartNumberingAfterBreak="0">
    <w:nsid w:val="0AFA5966"/>
    <w:multiLevelType w:val="multilevel"/>
    <w:tmpl w:val="B120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B0E4A1C"/>
    <w:multiLevelType w:val="multilevel"/>
    <w:tmpl w:val="A51CA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D03641D"/>
    <w:multiLevelType w:val="multilevel"/>
    <w:tmpl w:val="C3CE2C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D064C4F"/>
    <w:multiLevelType w:val="hybridMultilevel"/>
    <w:tmpl w:val="A8D68CD2"/>
    <w:lvl w:ilvl="0" w:tplc="D32256BE">
      <w:start w:val="1"/>
      <w:numFmt w:val="bullet"/>
      <w:lvlText w:val="-"/>
      <w:lvlJc w:val="left"/>
      <w:pPr>
        <w:ind w:left="720" w:hanging="360"/>
      </w:pPr>
      <w:rPr>
        <w:rFonts w:ascii="Walbaum Text" w:hAnsi="Walbaum Tex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D8D0CA6"/>
    <w:multiLevelType w:val="multilevel"/>
    <w:tmpl w:val="DF149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D96620A"/>
    <w:multiLevelType w:val="multilevel"/>
    <w:tmpl w:val="882A20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E39607A"/>
    <w:multiLevelType w:val="multilevel"/>
    <w:tmpl w:val="02B65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BC6C2D"/>
    <w:multiLevelType w:val="multilevel"/>
    <w:tmpl w:val="7C5AEA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F4753FD"/>
    <w:multiLevelType w:val="multilevel"/>
    <w:tmpl w:val="A21CA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BC4360"/>
    <w:multiLevelType w:val="multilevel"/>
    <w:tmpl w:val="D884B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13D1012"/>
    <w:multiLevelType w:val="multilevel"/>
    <w:tmpl w:val="5E1A9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1801860"/>
    <w:multiLevelType w:val="multilevel"/>
    <w:tmpl w:val="706C57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812E16"/>
    <w:multiLevelType w:val="multilevel"/>
    <w:tmpl w:val="64DA5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4330B94"/>
    <w:multiLevelType w:val="multilevel"/>
    <w:tmpl w:val="98E65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58120B7"/>
    <w:multiLevelType w:val="multilevel"/>
    <w:tmpl w:val="9468E8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5CA2A39"/>
    <w:multiLevelType w:val="multilevel"/>
    <w:tmpl w:val="02385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5D36503"/>
    <w:multiLevelType w:val="multilevel"/>
    <w:tmpl w:val="57328F9C"/>
    <w:lvl w:ilvl="0">
      <w:start w:val="1"/>
      <w:numFmt w:val="bullet"/>
      <w:lvlText w:val="-"/>
      <w:lvlJc w:val="left"/>
      <w:pPr>
        <w:tabs>
          <w:tab w:val="num" w:pos="720"/>
        </w:tabs>
        <w:ind w:left="720" w:hanging="360"/>
      </w:pPr>
      <w:rPr>
        <w:rFonts w:ascii="Walbaum Text" w:hAnsi="Walbaum Text"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6AE3EE8"/>
    <w:multiLevelType w:val="multilevel"/>
    <w:tmpl w:val="04A6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6C12E15"/>
    <w:multiLevelType w:val="multilevel"/>
    <w:tmpl w:val="41748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6E20F48"/>
    <w:multiLevelType w:val="multilevel"/>
    <w:tmpl w:val="F92CA3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7F726F6"/>
    <w:multiLevelType w:val="multilevel"/>
    <w:tmpl w:val="EDD21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888452B"/>
    <w:multiLevelType w:val="multilevel"/>
    <w:tmpl w:val="77600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B918BB"/>
    <w:multiLevelType w:val="hybridMultilevel"/>
    <w:tmpl w:val="E4AEA31A"/>
    <w:lvl w:ilvl="0" w:tplc="D32256BE">
      <w:start w:val="1"/>
      <w:numFmt w:val="bullet"/>
      <w:lvlText w:val="-"/>
      <w:lvlJc w:val="left"/>
      <w:pPr>
        <w:ind w:left="720" w:hanging="360"/>
      </w:pPr>
      <w:rPr>
        <w:rFonts w:ascii="Walbaum Text" w:hAnsi="Walbaum Tex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8C85C0D"/>
    <w:multiLevelType w:val="multilevel"/>
    <w:tmpl w:val="2B4C7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8CB56A4"/>
    <w:multiLevelType w:val="multilevel"/>
    <w:tmpl w:val="4F2EE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90C1F0E"/>
    <w:multiLevelType w:val="multilevel"/>
    <w:tmpl w:val="2E12E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93C4605"/>
    <w:multiLevelType w:val="multilevel"/>
    <w:tmpl w:val="C51AF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9AF12B0"/>
    <w:multiLevelType w:val="multilevel"/>
    <w:tmpl w:val="F078D0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9E17ADE"/>
    <w:multiLevelType w:val="multilevel"/>
    <w:tmpl w:val="B810E2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A781952"/>
    <w:multiLevelType w:val="multilevel"/>
    <w:tmpl w:val="0B8A2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DB018AE"/>
    <w:multiLevelType w:val="hybridMultilevel"/>
    <w:tmpl w:val="6E4848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1F4B2C26"/>
    <w:multiLevelType w:val="multilevel"/>
    <w:tmpl w:val="3D2AC6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0CE4793"/>
    <w:multiLevelType w:val="multilevel"/>
    <w:tmpl w:val="1778B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1142510"/>
    <w:multiLevelType w:val="hybridMultilevel"/>
    <w:tmpl w:val="1F8CACB2"/>
    <w:lvl w:ilvl="0" w:tplc="0B90EFAA">
      <w:start w:val="1"/>
      <w:numFmt w:val="low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15:restartNumberingAfterBreak="0">
    <w:nsid w:val="21305A73"/>
    <w:multiLevelType w:val="multilevel"/>
    <w:tmpl w:val="5532F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2467F6F"/>
    <w:multiLevelType w:val="multilevel"/>
    <w:tmpl w:val="58D451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2AF53DE"/>
    <w:multiLevelType w:val="multilevel"/>
    <w:tmpl w:val="64AEEA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2E71F2E"/>
    <w:multiLevelType w:val="multilevel"/>
    <w:tmpl w:val="C7C8E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3077521"/>
    <w:multiLevelType w:val="multilevel"/>
    <w:tmpl w:val="913C2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34F4168"/>
    <w:multiLevelType w:val="multilevel"/>
    <w:tmpl w:val="F474AF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3762A45"/>
    <w:multiLevelType w:val="multilevel"/>
    <w:tmpl w:val="9AF2A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58A4F1C"/>
    <w:multiLevelType w:val="multilevel"/>
    <w:tmpl w:val="7C3C8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71E69D3"/>
    <w:multiLevelType w:val="hybridMultilevel"/>
    <w:tmpl w:val="2A429706"/>
    <w:lvl w:ilvl="0" w:tplc="D32256BE">
      <w:start w:val="1"/>
      <w:numFmt w:val="bullet"/>
      <w:lvlText w:val="-"/>
      <w:lvlJc w:val="left"/>
      <w:pPr>
        <w:ind w:left="720" w:hanging="360"/>
      </w:pPr>
      <w:rPr>
        <w:rFonts w:ascii="Walbaum Text" w:hAnsi="Walbaum Tex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28840CA4"/>
    <w:multiLevelType w:val="multilevel"/>
    <w:tmpl w:val="3F90E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8BA33BE"/>
    <w:multiLevelType w:val="multilevel"/>
    <w:tmpl w:val="601A1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A181F84"/>
    <w:multiLevelType w:val="multilevel"/>
    <w:tmpl w:val="7D886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A8E557C"/>
    <w:multiLevelType w:val="multilevel"/>
    <w:tmpl w:val="8E827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B592B4A"/>
    <w:multiLevelType w:val="multilevel"/>
    <w:tmpl w:val="045E0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BEF1B19"/>
    <w:multiLevelType w:val="multilevel"/>
    <w:tmpl w:val="A2146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C6277D4"/>
    <w:multiLevelType w:val="multilevel"/>
    <w:tmpl w:val="9E081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D832F54"/>
    <w:multiLevelType w:val="multilevel"/>
    <w:tmpl w:val="B47C7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D9E48D2"/>
    <w:multiLevelType w:val="multilevel"/>
    <w:tmpl w:val="116CBE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F144774"/>
    <w:multiLevelType w:val="multilevel"/>
    <w:tmpl w:val="D2023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F6A3EC3"/>
    <w:multiLevelType w:val="multilevel"/>
    <w:tmpl w:val="DEA88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0043EE2"/>
    <w:multiLevelType w:val="multilevel"/>
    <w:tmpl w:val="D3BC70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08108E2"/>
    <w:multiLevelType w:val="multilevel"/>
    <w:tmpl w:val="D9A2A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147249F"/>
    <w:multiLevelType w:val="multilevel"/>
    <w:tmpl w:val="3B9EA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15E1C9C"/>
    <w:multiLevelType w:val="multilevel"/>
    <w:tmpl w:val="A978CD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2CB472C"/>
    <w:multiLevelType w:val="multilevel"/>
    <w:tmpl w:val="60F62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3714508"/>
    <w:multiLevelType w:val="hybridMultilevel"/>
    <w:tmpl w:val="1C8EF4A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345B3DBD"/>
    <w:multiLevelType w:val="hybridMultilevel"/>
    <w:tmpl w:val="5E1E1B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4A027FB"/>
    <w:multiLevelType w:val="multilevel"/>
    <w:tmpl w:val="1FD46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4E87383"/>
    <w:multiLevelType w:val="multilevel"/>
    <w:tmpl w:val="FC52833A"/>
    <w:lvl w:ilvl="0">
      <w:start w:val="1"/>
      <w:numFmt w:val="bullet"/>
      <w:lvlText w:val=""/>
      <w:lvlJc w:val="left"/>
      <w:pPr>
        <w:ind w:left="720" w:hanging="360"/>
      </w:pPr>
      <w:rPr>
        <w:rFonts w:ascii="Symbol" w:hAnsi="Symbol" w:hint="default"/>
        <w:color w:val="000000" w:themeColor="text1"/>
        <w:sz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3" w15:restartNumberingAfterBreak="0">
    <w:nsid w:val="35012705"/>
    <w:multiLevelType w:val="multilevel"/>
    <w:tmpl w:val="8B4C55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59A0E2A"/>
    <w:multiLevelType w:val="multilevel"/>
    <w:tmpl w:val="0FE2A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63A0E99"/>
    <w:multiLevelType w:val="multilevel"/>
    <w:tmpl w:val="4CAE1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68951F0"/>
    <w:multiLevelType w:val="multilevel"/>
    <w:tmpl w:val="7A4C26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6964572"/>
    <w:multiLevelType w:val="multilevel"/>
    <w:tmpl w:val="DB34F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69704EE"/>
    <w:multiLevelType w:val="multilevel"/>
    <w:tmpl w:val="A98C0A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73A77EA"/>
    <w:multiLevelType w:val="multilevel"/>
    <w:tmpl w:val="4B765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8AE2335"/>
    <w:multiLevelType w:val="multilevel"/>
    <w:tmpl w:val="BCBA9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9006EFF"/>
    <w:multiLevelType w:val="multilevel"/>
    <w:tmpl w:val="162628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9133D49"/>
    <w:multiLevelType w:val="multilevel"/>
    <w:tmpl w:val="A3A6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AA104A7"/>
    <w:multiLevelType w:val="multilevel"/>
    <w:tmpl w:val="37A89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D1B62DE"/>
    <w:multiLevelType w:val="multilevel"/>
    <w:tmpl w:val="01CA220E"/>
    <w:lvl w:ilvl="0">
      <w:start w:val="1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3D4B158F"/>
    <w:multiLevelType w:val="multilevel"/>
    <w:tmpl w:val="7CF2D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D8715D1"/>
    <w:multiLevelType w:val="multilevel"/>
    <w:tmpl w:val="F44A3E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FA4349E"/>
    <w:multiLevelType w:val="multilevel"/>
    <w:tmpl w:val="4C805F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13833FE"/>
    <w:multiLevelType w:val="multilevel"/>
    <w:tmpl w:val="BC4AE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13C6FC0"/>
    <w:multiLevelType w:val="multilevel"/>
    <w:tmpl w:val="BB38C7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2C13621"/>
    <w:multiLevelType w:val="multilevel"/>
    <w:tmpl w:val="99F27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3F13160"/>
    <w:multiLevelType w:val="multilevel"/>
    <w:tmpl w:val="F2869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40C539F"/>
    <w:multiLevelType w:val="multilevel"/>
    <w:tmpl w:val="A1EA0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4C74D73"/>
    <w:multiLevelType w:val="multilevel"/>
    <w:tmpl w:val="6A62A8D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4" w15:restartNumberingAfterBreak="0">
    <w:nsid w:val="46A31F19"/>
    <w:multiLevelType w:val="multilevel"/>
    <w:tmpl w:val="7FAEA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6F01C0C"/>
    <w:multiLevelType w:val="multilevel"/>
    <w:tmpl w:val="2B1E7362"/>
    <w:lvl w:ilvl="0">
      <w:start w:val="1"/>
      <w:numFmt w:val="bullet"/>
      <w:lvlText w:val="-"/>
      <w:lvlJc w:val="left"/>
      <w:pPr>
        <w:tabs>
          <w:tab w:val="num" w:pos="720"/>
        </w:tabs>
        <w:ind w:left="720" w:hanging="360"/>
      </w:pPr>
      <w:rPr>
        <w:rFonts w:ascii="Walbaum Text" w:hAnsi="Walbaum Text"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9601D34"/>
    <w:multiLevelType w:val="multilevel"/>
    <w:tmpl w:val="F7B213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9B72847"/>
    <w:multiLevelType w:val="multilevel"/>
    <w:tmpl w:val="0B54EA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9CB3620"/>
    <w:multiLevelType w:val="multilevel"/>
    <w:tmpl w:val="6F268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A7E7646"/>
    <w:multiLevelType w:val="multilevel"/>
    <w:tmpl w:val="5CBE4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B540B0A"/>
    <w:multiLevelType w:val="multilevel"/>
    <w:tmpl w:val="7D5CA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B624263"/>
    <w:multiLevelType w:val="multilevel"/>
    <w:tmpl w:val="20A82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B88566E"/>
    <w:multiLevelType w:val="multilevel"/>
    <w:tmpl w:val="8F22B4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D5F07E2"/>
    <w:multiLevelType w:val="hybridMultilevel"/>
    <w:tmpl w:val="22DC98E2"/>
    <w:lvl w:ilvl="0" w:tplc="D32256BE">
      <w:start w:val="1"/>
      <w:numFmt w:val="bullet"/>
      <w:lvlText w:val="-"/>
      <w:lvlJc w:val="left"/>
      <w:pPr>
        <w:ind w:left="720" w:hanging="360"/>
      </w:pPr>
      <w:rPr>
        <w:rFonts w:ascii="Walbaum Text" w:hAnsi="Walbaum Tex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4F3B5BF6"/>
    <w:multiLevelType w:val="multilevel"/>
    <w:tmpl w:val="6D3E6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08C3F90"/>
    <w:multiLevelType w:val="multilevel"/>
    <w:tmpl w:val="8A5C9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50A4591A"/>
    <w:multiLevelType w:val="hybridMultilevel"/>
    <w:tmpl w:val="F91C5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20015C4"/>
    <w:multiLevelType w:val="multilevel"/>
    <w:tmpl w:val="55BC7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3D73256"/>
    <w:multiLevelType w:val="multilevel"/>
    <w:tmpl w:val="E084C1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44B7F8C"/>
    <w:multiLevelType w:val="multilevel"/>
    <w:tmpl w:val="FC0E6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4D77821"/>
    <w:multiLevelType w:val="multilevel"/>
    <w:tmpl w:val="D4CAD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4E2227E"/>
    <w:multiLevelType w:val="multilevel"/>
    <w:tmpl w:val="CD42E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575413D"/>
    <w:multiLevelType w:val="multilevel"/>
    <w:tmpl w:val="12CA3E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5A97FFC"/>
    <w:multiLevelType w:val="multilevel"/>
    <w:tmpl w:val="8EF6141A"/>
    <w:lvl w:ilvl="0">
      <w:start w:val="1"/>
      <w:numFmt w:val="bullet"/>
      <w:lvlText w:val=""/>
      <w:lvlJc w:val="left"/>
      <w:pPr>
        <w:tabs>
          <w:tab w:val="num" w:pos="1068"/>
        </w:tabs>
        <w:ind w:left="1068" w:hanging="360"/>
      </w:pPr>
      <w:rPr>
        <w:rFonts w:ascii="Wingdings" w:hAnsi="Wingdings" w:hint="default"/>
        <w:color w:val="000000" w:themeColor="text1"/>
        <w:sz w:val="20"/>
      </w:rPr>
    </w:lvl>
    <w:lvl w:ilvl="1">
      <w:start w:val="1"/>
      <w:numFmt w:val="lowerRoman"/>
      <w:lvlText w:val="(%2)"/>
      <w:lvlJc w:val="left"/>
      <w:pPr>
        <w:ind w:left="2148" w:hanging="720"/>
      </w:pPr>
      <w:rPr>
        <w:rFonts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24" w15:restartNumberingAfterBreak="0">
    <w:nsid w:val="59414EA0"/>
    <w:multiLevelType w:val="multilevel"/>
    <w:tmpl w:val="34609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9804B00"/>
    <w:multiLevelType w:val="multilevel"/>
    <w:tmpl w:val="1BF03D58"/>
    <w:lvl w:ilvl="0">
      <w:numFmt w:val="bullet"/>
      <w:lvlText w:val="-"/>
      <w:lvlJc w:val="left"/>
      <w:pPr>
        <w:tabs>
          <w:tab w:val="num" w:pos="720"/>
        </w:tabs>
        <w:ind w:left="720" w:hanging="360"/>
      </w:pPr>
      <w:rPr>
        <w:rFonts w:ascii="Calibri" w:eastAsia="Calibri" w:hAnsi="Calibri" w:cs="Aria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5A7D48DF"/>
    <w:multiLevelType w:val="multilevel"/>
    <w:tmpl w:val="A8928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B6F72B9"/>
    <w:multiLevelType w:val="multilevel"/>
    <w:tmpl w:val="F0221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C50390E"/>
    <w:multiLevelType w:val="multilevel"/>
    <w:tmpl w:val="4E5C824C"/>
    <w:lvl w:ilvl="0">
      <w:start w:val="1"/>
      <w:numFmt w:val="bullet"/>
      <w:lvlText w:val=""/>
      <w:lvlJc w:val="left"/>
      <w:pPr>
        <w:tabs>
          <w:tab w:val="num" w:pos="720"/>
        </w:tabs>
        <w:ind w:left="720" w:hanging="360"/>
      </w:pPr>
      <w:rPr>
        <w:rFonts w:ascii="Symbol" w:hAnsi="Symbol" w:hint="default"/>
        <w:color w:val="000000" w:themeColor="text1"/>
        <w:sz w:val="20"/>
      </w:r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5D222336"/>
    <w:multiLevelType w:val="multilevel"/>
    <w:tmpl w:val="FC561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D460564"/>
    <w:multiLevelType w:val="multilevel"/>
    <w:tmpl w:val="E9A4F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F4D6095"/>
    <w:multiLevelType w:val="multilevel"/>
    <w:tmpl w:val="F1F03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FDB171B"/>
    <w:multiLevelType w:val="multilevel"/>
    <w:tmpl w:val="1C346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0CB050D"/>
    <w:multiLevelType w:val="hybridMultilevel"/>
    <w:tmpl w:val="E992455C"/>
    <w:lvl w:ilvl="0" w:tplc="D32256BE">
      <w:start w:val="1"/>
      <w:numFmt w:val="bullet"/>
      <w:lvlText w:val="-"/>
      <w:lvlJc w:val="left"/>
      <w:pPr>
        <w:ind w:left="720" w:hanging="360"/>
      </w:pPr>
      <w:rPr>
        <w:rFonts w:ascii="Walbaum Text" w:hAnsi="Walbaum Tex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62EE1270"/>
    <w:multiLevelType w:val="multilevel"/>
    <w:tmpl w:val="E91EC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3515D29"/>
    <w:multiLevelType w:val="multilevel"/>
    <w:tmpl w:val="4F362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4BA714B"/>
    <w:multiLevelType w:val="multilevel"/>
    <w:tmpl w:val="3062A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556578E"/>
    <w:multiLevelType w:val="multilevel"/>
    <w:tmpl w:val="7262B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62972A8"/>
    <w:multiLevelType w:val="multilevel"/>
    <w:tmpl w:val="CB90CD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6AE7E91"/>
    <w:multiLevelType w:val="hybridMultilevel"/>
    <w:tmpl w:val="C84CBCD0"/>
    <w:lvl w:ilvl="0" w:tplc="D32256BE">
      <w:start w:val="1"/>
      <w:numFmt w:val="bullet"/>
      <w:lvlText w:val="-"/>
      <w:lvlJc w:val="left"/>
      <w:pPr>
        <w:ind w:left="720" w:hanging="360"/>
      </w:pPr>
      <w:rPr>
        <w:rFonts w:ascii="Walbaum Text" w:hAnsi="Walbaum Tex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67074F7D"/>
    <w:multiLevelType w:val="multilevel"/>
    <w:tmpl w:val="85FED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74B7B01"/>
    <w:multiLevelType w:val="multilevel"/>
    <w:tmpl w:val="76BE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6843101A"/>
    <w:multiLevelType w:val="multilevel"/>
    <w:tmpl w:val="ED4AD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91F0C35"/>
    <w:multiLevelType w:val="multilevel"/>
    <w:tmpl w:val="079AF7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98855FB"/>
    <w:multiLevelType w:val="multilevel"/>
    <w:tmpl w:val="A5FEA3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6A395117"/>
    <w:multiLevelType w:val="multilevel"/>
    <w:tmpl w:val="7976231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C694E6A"/>
    <w:multiLevelType w:val="multilevel"/>
    <w:tmpl w:val="EB12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6CED0117"/>
    <w:multiLevelType w:val="multilevel"/>
    <w:tmpl w:val="F4BA0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D965CA3"/>
    <w:multiLevelType w:val="multilevel"/>
    <w:tmpl w:val="5E58E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ED5312A"/>
    <w:multiLevelType w:val="multilevel"/>
    <w:tmpl w:val="AFB4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07E62A8"/>
    <w:multiLevelType w:val="multilevel"/>
    <w:tmpl w:val="0C1E4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71B74F63"/>
    <w:multiLevelType w:val="multilevel"/>
    <w:tmpl w:val="AA922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33F0EF6"/>
    <w:multiLevelType w:val="multilevel"/>
    <w:tmpl w:val="37BA52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7429176B"/>
    <w:multiLevelType w:val="multilevel"/>
    <w:tmpl w:val="5582C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750E6092"/>
    <w:multiLevelType w:val="multilevel"/>
    <w:tmpl w:val="05F4B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75F47437"/>
    <w:multiLevelType w:val="multilevel"/>
    <w:tmpl w:val="5A84F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76003BC8"/>
    <w:multiLevelType w:val="multilevel"/>
    <w:tmpl w:val="73C83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7656082C"/>
    <w:multiLevelType w:val="multilevel"/>
    <w:tmpl w:val="3438BD4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768D4E45"/>
    <w:multiLevelType w:val="multilevel"/>
    <w:tmpl w:val="0D5A81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7901C5E"/>
    <w:multiLevelType w:val="multilevel"/>
    <w:tmpl w:val="03483E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77C8009A"/>
    <w:multiLevelType w:val="multilevel"/>
    <w:tmpl w:val="93884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77CA629A"/>
    <w:multiLevelType w:val="multilevel"/>
    <w:tmpl w:val="06EE33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77DA4133"/>
    <w:multiLevelType w:val="multilevel"/>
    <w:tmpl w:val="C0D407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albaum Text" w:hAnsi="Walbaum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8302172"/>
    <w:multiLevelType w:val="multilevel"/>
    <w:tmpl w:val="7DCEB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92C7297"/>
    <w:multiLevelType w:val="multilevel"/>
    <w:tmpl w:val="8E8ADE0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5" w15:restartNumberingAfterBreak="0">
    <w:nsid w:val="79C01E74"/>
    <w:multiLevelType w:val="multilevel"/>
    <w:tmpl w:val="F5D20F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7A904895"/>
    <w:multiLevelType w:val="multilevel"/>
    <w:tmpl w:val="5C14E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BE55138"/>
    <w:multiLevelType w:val="multilevel"/>
    <w:tmpl w:val="4D0064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C5233CA"/>
    <w:multiLevelType w:val="multilevel"/>
    <w:tmpl w:val="295AA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D9A43D0"/>
    <w:multiLevelType w:val="hybridMultilevel"/>
    <w:tmpl w:val="495CA40C"/>
    <w:lvl w:ilvl="0" w:tplc="FFFFFFFF">
      <w:start w:val="1"/>
      <w:numFmt w:val="bullet"/>
      <w:lvlText w:val="-"/>
      <w:lvlJc w:val="left"/>
      <w:pPr>
        <w:ind w:left="720" w:hanging="360"/>
      </w:pPr>
      <w:rPr>
        <w:rFonts w:ascii="Walbaum Text" w:hAnsi="Walbaum Text" w:hint="default"/>
      </w:rPr>
    </w:lvl>
    <w:lvl w:ilvl="1" w:tplc="D32256BE">
      <w:start w:val="1"/>
      <w:numFmt w:val="bullet"/>
      <w:lvlText w:val="-"/>
      <w:lvlJc w:val="left"/>
      <w:pPr>
        <w:ind w:left="1440" w:hanging="360"/>
      </w:pPr>
      <w:rPr>
        <w:rFonts w:ascii="Walbaum Text" w:hAnsi="Walbaum Text"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0" w15:restartNumberingAfterBreak="0">
    <w:nsid w:val="7EBC4646"/>
    <w:multiLevelType w:val="multilevel"/>
    <w:tmpl w:val="46FA69A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7F5E7F21"/>
    <w:multiLevelType w:val="multilevel"/>
    <w:tmpl w:val="BE6E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F941CC9"/>
    <w:multiLevelType w:val="multilevel"/>
    <w:tmpl w:val="E2661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01837155">
    <w:abstractNumId w:val="164"/>
  </w:num>
  <w:num w:numId="2" w16cid:durableId="1422603077">
    <w:abstractNumId w:val="13"/>
  </w:num>
  <w:num w:numId="3" w16cid:durableId="513881680">
    <w:abstractNumId w:val="128"/>
  </w:num>
  <w:num w:numId="4" w16cid:durableId="34549712">
    <w:abstractNumId w:val="125"/>
  </w:num>
  <w:num w:numId="5" w16cid:durableId="1490632492">
    <w:abstractNumId w:val="79"/>
  </w:num>
  <w:num w:numId="6" w16cid:durableId="482890417">
    <w:abstractNumId w:val="53"/>
  </w:num>
  <w:num w:numId="7" w16cid:durableId="1156073492">
    <w:abstractNumId w:val="82"/>
  </w:num>
  <w:num w:numId="8" w16cid:durableId="2036956959">
    <w:abstractNumId w:val="16"/>
  </w:num>
  <w:num w:numId="9" w16cid:durableId="1884978029">
    <w:abstractNumId w:val="103"/>
  </w:num>
  <w:num w:numId="10" w16cid:durableId="1075786600">
    <w:abstractNumId w:val="123"/>
  </w:num>
  <w:num w:numId="11" w16cid:durableId="558830070">
    <w:abstractNumId w:val="163"/>
  </w:num>
  <w:num w:numId="12" w16cid:durableId="1198279713">
    <w:abstractNumId w:val="98"/>
  </w:num>
  <w:num w:numId="13" w16cid:durableId="592007576">
    <w:abstractNumId w:val="114"/>
  </w:num>
  <w:num w:numId="14" w16cid:durableId="1658025194">
    <w:abstractNumId w:val="9"/>
  </w:num>
  <w:num w:numId="15" w16cid:durableId="189420512">
    <w:abstractNumId w:val="35"/>
  </w:num>
  <w:num w:numId="16" w16cid:durableId="771634346">
    <w:abstractNumId w:val="151"/>
  </w:num>
  <w:num w:numId="17" w16cid:durableId="271981492">
    <w:abstractNumId w:val="20"/>
  </w:num>
  <w:num w:numId="18" w16cid:durableId="1275751562">
    <w:abstractNumId w:val="5"/>
  </w:num>
  <w:num w:numId="19" w16cid:durableId="1347095567">
    <w:abstractNumId w:val="108"/>
  </w:num>
  <w:num w:numId="20" w16cid:durableId="350231150">
    <w:abstractNumId w:val="130"/>
  </w:num>
  <w:num w:numId="21" w16cid:durableId="1568877204">
    <w:abstractNumId w:val="85"/>
  </w:num>
  <w:num w:numId="22" w16cid:durableId="245039667">
    <w:abstractNumId w:val="73"/>
  </w:num>
  <w:num w:numId="23" w16cid:durableId="2021619407">
    <w:abstractNumId w:val="3"/>
  </w:num>
  <w:num w:numId="24" w16cid:durableId="914557669">
    <w:abstractNumId w:val="131"/>
  </w:num>
  <w:num w:numId="25" w16cid:durableId="1403211084">
    <w:abstractNumId w:val="60"/>
  </w:num>
  <w:num w:numId="26" w16cid:durableId="871966667">
    <w:abstractNumId w:val="149"/>
  </w:num>
  <w:num w:numId="27" w16cid:durableId="1037774901">
    <w:abstractNumId w:val="165"/>
  </w:num>
  <w:num w:numId="28" w16cid:durableId="2032998037">
    <w:abstractNumId w:val="106"/>
  </w:num>
  <w:num w:numId="29" w16cid:durableId="511995915">
    <w:abstractNumId w:val="152"/>
  </w:num>
  <w:num w:numId="30" w16cid:durableId="1093091019">
    <w:abstractNumId w:val="31"/>
  </w:num>
  <w:num w:numId="31" w16cid:durableId="1622960301">
    <w:abstractNumId w:val="107"/>
  </w:num>
  <w:num w:numId="32" w16cid:durableId="763303110">
    <w:abstractNumId w:val="159"/>
  </w:num>
  <w:num w:numId="33" w16cid:durableId="1067262444">
    <w:abstractNumId w:val="55"/>
  </w:num>
  <w:num w:numId="34" w16cid:durableId="865875272">
    <w:abstractNumId w:val="144"/>
  </w:num>
  <w:num w:numId="35" w16cid:durableId="30233467">
    <w:abstractNumId w:val="22"/>
  </w:num>
  <w:num w:numId="36" w16cid:durableId="1719932059">
    <w:abstractNumId w:val="25"/>
  </w:num>
  <w:num w:numId="37" w16cid:durableId="576746568">
    <w:abstractNumId w:val="95"/>
  </w:num>
  <w:num w:numId="38" w16cid:durableId="990215936">
    <w:abstractNumId w:val="102"/>
  </w:num>
  <w:num w:numId="39" w16cid:durableId="857815014">
    <w:abstractNumId w:val="8"/>
  </w:num>
  <w:num w:numId="40" w16cid:durableId="1194995282">
    <w:abstractNumId w:val="81"/>
  </w:num>
  <w:num w:numId="41" w16cid:durableId="703750868">
    <w:abstractNumId w:val="100"/>
  </w:num>
  <w:num w:numId="42" w16cid:durableId="121123493">
    <w:abstractNumId w:val="89"/>
  </w:num>
  <w:num w:numId="43" w16cid:durableId="359673902">
    <w:abstractNumId w:val="48"/>
  </w:num>
  <w:num w:numId="44" w16cid:durableId="672530494">
    <w:abstractNumId w:val="96"/>
  </w:num>
  <w:num w:numId="45" w16cid:durableId="1777211678">
    <w:abstractNumId w:val="70"/>
  </w:num>
  <w:num w:numId="46" w16cid:durableId="1319652474">
    <w:abstractNumId w:val="124"/>
  </w:num>
  <w:num w:numId="47" w16cid:durableId="1904245595">
    <w:abstractNumId w:val="66"/>
  </w:num>
  <w:num w:numId="48" w16cid:durableId="1879120321">
    <w:abstractNumId w:val="54"/>
  </w:num>
  <w:num w:numId="49" w16cid:durableId="965935253">
    <w:abstractNumId w:val="109"/>
  </w:num>
  <w:num w:numId="50" w16cid:durableId="129565168">
    <w:abstractNumId w:val="14"/>
  </w:num>
  <w:num w:numId="51" w16cid:durableId="1545478799">
    <w:abstractNumId w:val="26"/>
  </w:num>
  <w:num w:numId="52" w16cid:durableId="1391341664">
    <w:abstractNumId w:val="160"/>
  </w:num>
  <w:num w:numId="53" w16cid:durableId="160201916">
    <w:abstractNumId w:val="92"/>
  </w:num>
  <w:num w:numId="54" w16cid:durableId="1819028213">
    <w:abstractNumId w:val="30"/>
  </w:num>
  <w:num w:numId="55" w16cid:durableId="278683029">
    <w:abstractNumId w:val="91"/>
  </w:num>
  <w:num w:numId="56" w16cid:durableId="933786927">
    <w:abstractNumId w:val="147"/>
  </w:num>
  <w:num w:numId="57" w16cid:durableId="2012175309">
    <w:abstractNumId w:val="148"/>
  </w:num>
  <w:num w:numId="58" w16cid:durableId="502404875">
    <w:abstractNumId w:val="83"/>
  </w:num>
  <w:num w:numId="59" w16cid:durableId="825318720">
    <w:abstractNumId w:val="145"/>
  </w:num>
  <w:num w:numId="60" w16cid:durableId="223687881">
    <w:abstractNumId w:val="76"/>
  </w:num>
  <w:num w:numId="61" w16cid:durableId="2012414988">
    <w:abstractNumId w:val="90"/>
  </w:num>
  <w:num w:numId="62" w16cid:durableId="1682588298">
    <w:abstractNumId w:val="166"/>
  </w:num>
  <w:num w:numId="63" w16cid:durableId="1003123394">
    <w:abstractNumId w:val="153"/>
  </w:num>
  <w:num w:numId="64" w16cid:durableId="58947779">
    <w:abstractNumId w:val="111"/>
  </w:num>
  <w:num w:numId="65" w16cid:durableId="2037270747">
    <w:abstractNumId w:val="154"/>
  </w:num>
  <w:num w:numId="66" w16cid:durableId="1849904957">
    <w:abstractNumId w:val="101"/>
  </w:num>
  <w:num w:numId="67" w16cid:durableId="1864511262">
    <w:abstractNumId w:val="65"/>
  </w:num>
  <w:num w:numId="68" w16cid:durableId="1975258023">
    <w:abstractNumId w:val="119"/>
  </w:num>
  <w:num w:numId="69" w16cid:durableId="465047519">
    <w:abstractNumId w:val="69"/>
  </w:num>
  <w:num w:numId="70" w16cid:durableId="1896308698">
    <w:abstractNumId w:val="4"/>
  </w:num>
  <w:num w:numId="71" w16cid:durableId="320543686">
    <w:abstractNumId w:val="127"/>
  </w:num>
  <w:num w:numId="72" w16cid:durableId="1338537245">
    <w:abstractNumId w:val="59"/>
  </w:num>
  <w:num w:numId="73" w16cid:durableId="554898368">
    <w:abstractNumId w:val="86"/>
  </w:num>
  <w:num w:numId="74" w16cid:durableId="1456093322">
    <w:abstractNumId w:val="122"/>
  </w:num>
  <w:num w:numId="75" w16cid:durableId="1797523710">
    <w:abstractNumId w:val="51"/>
  </w:num>
  <w:num w:numId="76" w16cid:durableId="1033926068">
    <w:abstractNumId w:val="7"/>
  </w:num>
  <w:num w:numId="77" w16cid:durableId="1416394999">
    <w:abstractNumId w:val="118"/>
  </w:num>
  <w:num w:numId="78" w16cid:durableId="1419323767">
    <w:abstractNumId w:val="11"/>
  </w:num>
  <w:num w:numId="79" w16cid:durableId="804129713">
    <w:abstractNumId w:val="77"/>
  </w:num>
  <w:num w:numId="80" w16cid:durableId="329139664">
    <w:abstractNumId w:val="88"/>
  </w:num>
  <w:num w:numId="81" w16cid:durableId="1270746893">
    <w:abstractNumId w:val="167"/>
  </w:num>
  <w:num w:numId="82" w16cid:durableId="1816222419">
    <w:abstractNumId w:val="38"/>
  </w:num>
  <w:num w:numId="83" w16cid:durableId="2094621547">
    <w:abstractNumId w:val="112"/>
  </w:num>
  <w:num w:numId="84" w16cid:durableId="1216157160">
    <w:abstractNumId w:val="97"/>
  </w:num>
  <w:num w:numId="85" w16cid:durableId="1834906284">
    <w:abstractNumId w:val="71"/>
  </w:num>
  <w:num w:numId="86" w16cid:durableId="1094980779">
    <w:abstractNumId w:val="169"/>
  </w:num>
  <w:num w:numId="87" w16cid:durableId="1896159700">
    <w:abstractNumId w:val="45"/>
  </w:num>
  <w:num w:numId="88" w16cid:durableId="845051893">
    <w:abstractNumId w:val="6"/>
  </w:num>
  <w:num w:numId="89" w16cid:durableId="1615134886">
    <w:abstractNumId w:val="87"/>
  </w:num>
  <w:num w:numId="90" w16cid:durableId="1330135055">
    <w:abstractNumId w:val="80"/>
  </w:num>
  <w:num w:numId="91" w16cid:durableId="1798064429">
    <w:abstractNumId w:val="158"/>
  </w:num>
  <w:num w:numId="92" w16cid:durableId="1734350702">
    <w:abstractNumId w:val="161"/>
  </w:num>
  <w:num w:numId="93" w16cid:durableId="448820757">
    <w:abstractNumId w:val="99"/>
  </w:num>
  <w:num w:numId="94" w16cid:durableId="598413616">
    <w:abstractNumId w:val="138"/>
  </w:num>
  <w:num w:numId="95" w16cid:durableId="1274632901">
    <w:abstractNumId w:val="52"/>
  </w:num>
  <w:num w:numId="96" w16cid:durableId="1942373132">
    <w:abstractNumId w:val="15"/>
  </w:num>
  <w:num w:numId="97" w16cid:durableId="668943477">
    <w:abstractNumId w:val="47"/>
  </w:num>
  <w:num w:numId="98" w16cid:durableId="1895309266">
    <w:abstractNumId w:val="143"/>
  </w:num>
  <w:num w:numId="99" w16cid:durableId="942883945">
    <w:abstractNumId w:val="27"/>
  </w:num>
  <w:num w:numId="100" w16cid:durableId="505096052">
    <w:abstractNumId w:val="137"/>
  </w:num>
  <w:num w:numId="101" w16cid:durableId="1120029544">
    <w:abstractNumId w:val="157"/>
  </w:num>
  <w:num w:numId="102" w16cid:durableId="483355415">
    <w:abstractNumId w:val="170"/>
  </w:num>
  <w:num w:numId="103" w16cid:durableId="1822044078">
    <w:abstractNumId w:val="115"/>
  </w:num>
  <w:num w:numId="104" w16cid:durableId="1340426680">
    <w:abstractNumId w:val="24"/>
  </w:num>
  <w:num w:numId="105" w16cid:durableId="500968280">
    <w:abstractNumId w:val="146"/>
  </w:num>
  <w:num w:numId="106" w16cid:durableId="1548486981">
    <w:abstractNumId w:val="116"/>
  </w:num>
  <w:num w:numId="107" w16cid:durableId="2071733188">
    <w:abstractNumId w:val="94"/>
  </w:num>
  <w:num w:numId="108" w16cid:durableId="1208031004">
    <w:abstractNumId w:val="0"/>
  </w:num>
  <w:num w:numId="109" w16cid:durableId="1044863949">
    <w:abstractNumId w:val="21"/>
  </w:num>
  <w:num w:numId="110" w16cid:durableId="1473794625">
    <w:abstractNumId w:val="44"/>
  </w:num>
  <w:num w:numId="111" w16cid:durableId="2059543703">
    <w:abstractNumId w:val="121"/>
  </w:num>
  <w:num w:numId="112" w16cid:durableId="2005156725">
    <w:abstractNumId w:val="150"/>
  </w:num>
  <w:num w:numId="113" w16cid:durableId="1765691302">
    <w:abstractNumId w:val="113"/>
  </w:num>
  <w:num w:numId="114" w16cid:durableId="191000497">
    <w:abstractNumId w:val="62"/>
  </w:num>
  <w:num w:numId="115" w16cid:durableId="1612011656">
    <w:abstractNumId w:val="42"/>
  </w:num>
  <w:num w:numId="116" w16cid:durableId="384958666">
    <w:abstractNumId w:val="139"/>
  </w:num>
  <w:num w:numId="117" w16cid:durableId="909534306">
    <w:abstractNumId w:val="133"/>
  </w:num>
  <w:num w:numId="118" w16cid:durableId="694698655">
    <w:abstractNumId w:val="23"/>
  </w:num>
  <w:num w:numId="119" w16cid:durableId="1519392310">
    <w:abstractNumId w:val="39"/>
  </w:num>
  <w:num w:numId="120" w16cid:durableId="2134981688">
    <w:abstractNumId w:val="162"/>
  </w:num>
  <w:num w:numId="121" w16cid:durableId="1616060677">
    <w:abstractNumId w:val="57"/>
  </w:num>
  <w:num w:numId="122" w16cid:durableId="822160542">
    <w:abstractNumId w:val="134"/>
  </w:num>
  <w:num w:numId="123" w16cid:durableId="1456748982">
    <w:abstractNumId w:val="141"/>
  </w:num>
  <w:num w:numId="124" w16cid:durableId="1235505668">
    <w:abstractNumId w:val="110"/>
  </w:num>
  <w:num w:numId="125" w16cid:durableId="1098017204">
    <w:abstractNumId w:val="64"/>
  </w:num>
  <w:num w:numId="126" w16cid:durableId="466969926">
    <w:abstractNumId w:val="67"/>
  </w:num>
  <w:num w:numId="127" w16cid:durableId="513416841">
    <w:abstractNumId w:val="105"/>
  </w:num>
  <w:num w:numId="128" w16cid:durableId="1573810474">
    <w:abstractNumId w:val="36"/>
  </w:num>
  <w:num w:numId="129" w16cid:durableId="84158211">
    <w:abstractNumId w:val="10"/>
  </w:num>
  <w:num w:numId="130" w16cid:durableId="858003414">
    <w:abstractNumId w:val="142"/>
  </w:num>
  <w:num w:numId="131" w16cid:durableId="1220633559">
    <w:abstractNumId w:val="37"/>
  </w:num>
  <w:num w:numId="132" w16cid:durableId="1237662689">
    <w:abstractNumId w:val="172"/>
  </w:num>
  <w:num w:numId="133" w16cid:durableId="650065132">
    <w:abstractNumId w:val="126"/>
  </w:num>
  <w:num w:numId="134" w16cid:durableId="1701201317">
    <w:abstractNumId w:val="46"/>
  </w:num>
  <w:num w:numId="135" w16cid:durableId="634218839">
    <w:abstractNumId w:val="136"/>
  </w:num>
  <w:num w:numId="136" w16cid:durableId="18746894">
    <w:abstractNumId w:val="171"/>
  </w:num>
  <w:num w:numId="137" w16cid:durableId="457647970">
    <w:abstractNumId w:val="2"/>
  </w:num>
  <w:num w:numId="138" w16cid:durableId="1866871278">
    <w:abstractNumId w:val="68"/>
  </w:num>
  <w:num w:numId="139" w16cid:durableId="103236621">
    <w:abstractNumId w:val="28"/>
  </w:num>
  <w:num w:numId="140" w16cid:durableId="1171870362">
    <w:abstractNumId w:val="132"/>
  </w:num>
  <w:num w:numId="141" w16cid:durableId="1275019378">
    <w:abstractNumId w:val="40"/>
  </w:num>
  <w:num w:numId="142" w16cid:durableId="1426998516">
    <w:abstractNumId w:val="168"/>
  </w:num>
  <w:num w:numId="143" w16cid:durableId="596717378">
    <w:abstractNumId w:val="49"/>
  </w:num>
  <w:num w:numId="144" w16cid:durableId="230040427">
    <w:abstractNumId w:val="75"/>
  </w:num>
  <w:num w:numId="145" w16cid:durableId="1772312639">
    <w:abstractNumId w:val="155"/>
  </w:num>
  <w:num w:numId="146" w16cid:durableId="1265650810">
    <w:abstractNumId w:val="58"/>
  </w:num>
  <w:num w:numId="147" w16cid:durableId="1871063012">
    <w:abstractNumId w:val="93"/>
  </w:num>
  <w:num w:numId="148" w16cid:durableId="1696300905">
    <w:abstractNumId w:val="41"/>
  </w:num>
  <w:num w:numId="149" w16cid:durableId="1704742107">
    <w:abstractNumId w:val="19"/>
  </w:num>
  <w:num w:numId="150" w16cid:durableId="867181308">
    <w:abstractNumId w:val="63"/>
  </w:num>
  <w:num w:numId="151" w16cid:durableId="1054427281">
    <w:abstractNumId w:val="120"/>
  </w:num>
  <w:num w:numId="152" w16cid:durableId="657920260">
    <w:abstractNumId w:val="104"/>
  </w:num>
  <w:num w:numId="153" w16cid:durableId="1998336885">
    <w:abstractNumId w:val="18"/>
  </w:num>
  <w:num w:numId="154" w16cid:durableId="27731222">
    <w:abstractNumId w:val="78"/>
  </w:num>
  <w:num w:numId="155" w16cid:durableId="158424521">
    <w:abstractNumId w:val="140"/>
  </w:num>
  <w:num w:numId="156" w16cid:durableId="1976909016">
    <w:abstractNumId w:val="61"/>
  </w:num>
  <w:num w:numId="157" w16cid:durableId="654067121">
    <w:abstractNumId w:val="156"/>
  </w:num>
  <w:num w:numId="158" w16cid:durableId="953754814">
    <w:abstractNumId w:val="117"/>
  </w:num>
  <w:num w:numId="159" w16cid:durableId="2130664403">
    <w:abstractNumId w:val="56"/>
  </w:num>
  <w:num w:numId="160" w16cid:durableId="1757049153">
    <w:abstractNumId w:val="17"/>
  </w:num>
  <w:num w:numId="161" w16cid:durableId="1924296214">
    <w:abstractNumId w:val="84"/>
  </w:num>
  <w:num w:numId="162" w16cid:durableId="1017459599">
    <w:abstractNumId w:val="50"/>
  </w:num>
  <w:num w:numId="163" w16cid:durableId="899440068">
    <w:abstractNumId w:val="33"/>
  </w:num>
  <w:num w:numId="164" w16cid:durableId="171795552">
    <w:abstractNumId w:val="29"/>
  </w:num>
  <w:num w:numId="165" w16cid:durableId="414596515">
    <w:abstractNumId w:val="12"/>
  </w:num>
  <w:num w:numId="166" w16cid:durableId="39866444">
    <w:abstractNumId w:val="135"/>
  </w:num>
  <w:num w:numId="167" w16cid:durableId="644436684">
    <w:abstractNumId w:val="1"/>
  </w:num>
  <w:num w:numId="168" w16cid:durableId="1375888446">
    <w:abstractNumId w:val="43"/>
  </w:num>
  <w:num w:numId="169" w16cid:durableId="634993000">
    <w:abstractNumId w:val="129"/>
  </w:num>
  <w:num w:numId="170" w16cid:durableId="1018777842">
    <w:abstractNumId w:val="72"/>
  </w:num>
  <w:num w:numId="171" w16cid:durableId="221328916">
    <w:abstractNumId w:val="34"/>
  </w:num>
  <w:num w:numId="172" w16cid:durableId="592084886">
    <w:abstractNumId w:val="74"/>
  </w:num>
  <w:num w:numId="173" w16cid:durableId="1767730699">
    <w:abstractNumId w:val="32"/>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9D7"/>
    <w:rsid w:val="00000D89"/>
    <w:rsid w:val="00002222"/>
    <w:rsid w:val="00002E5B"/>
    <w:rsid w:val="000034E0"/>
    <w:rsid w:val="00003593"/>
    <w:rsid w:val="00003675"/>
    <w:rsid w:val="0000404C"/>
    <w:rsid w:val="0000409D"/>
    <w:rsid w:val="00004971"/>
    <w:rsid w:val="00004D0A"/>
    <w:rsid w:val="00005844"/>
    <w:rsid w:val="00005A35"/>
    <w:rsid w:val="00006336"/>
    <w:rsid w:val="00006889"/>
    <w:rsid w:val="000071DC"/>
    <w:rsid w:val="000074C0"/>
    <w:rsid w:val="00007680"/>
    <w:rsid w:val="0000796C"/>
    <w:rsid w:val="000079B2"/>
    <w:rsid w:val="00007B78"/>
    <w:rsid w:val="00010C0A"/>
    <w:rsid w:val="00010D11"/>
    <w:rsid w:val="00010FC5"/>
    <w:rsid w:val="0001125E"/>
    <w:rsid w:val="0001139A"/>
    <w:rsid w:val="000114D2"/>
    <w:rsid w:val="00011EE5"/>
    <w:rsid w:val="00012172"/>
    <w:rsid w:val="000124A5"/>
    <w:rsid w:val="00013018"/>
    <w:rsid w:val="000134A6"/>
    <w:rsid w:val="0001473E"/>
    <w:rsid w:val="00016341"/>
    <w:rsid w:val="0001636E"/>
    <w:rsid w:val="0001655A"/>
    <w:rsid w:val="00016BA5"/>
    <w:rsid w:val="00017EDE"/>
    <w:rsid w:val="00020ADA"/>
    <w:rsid w:val="000210F6"/>
    <w:rsid w:val="000215E2"/>
    <w:rsid w:val="000219BF"/>
    <w:rsid w:val="00021CD5"/>
    <w:rsid w:val="00022ABD"/>
    <w:rsid w:val="00022FA8"/>
    <w:rsid w:val="00023448"/>
    <w:rsid w:val="00023D71"/>
    <w:rsid w:val="00024C9E"/>
    <w:rsid w:val="00025779"/>
    <w:rsid w:val="00026A72"/>
    <w:rsid w:val="00027166"/>
    <w:rsid w:val="00027D75"/>
    <w:rsid w:val="00030CD8"/>
    <w:rsid w:val="00031696"/>
    <w:rsid w:val="00031CE4"/>
    <w:rsid w:val="0003274A"/>
    <w:rsid w:val="0003354A"/>
    <w:rsid w:val="00034F99"/>
    <w:rsid w:val="00035266"/>
    <w:rsid w:val="0003586B"/>
    <w:rsid w:val="00035EEE"/>
    <w:rsid w:val="00036BB1"/>
    <w:rsid w:val="00036D9E"/>
    <w:rsid w:val="0003744D"/>
    <w:rsid w:val="00037517"/>
    <w:rsid w:val="0003752B"/>
    <w:rsid w:val="00037535"/>
    <w:rsid w:val="00040098"/>
    <w:rsid w:val="0004060F"/>
    <w:rsid w:val="000406CC"/>
    <w:rsid w:val="00041C76"/>
    <w:rsid w:val="00042654"/>
    <w:rsid w:val="00042878"/>
    <w:rsid w:val="000428DB"/>
    <w:rsid w:val="00042C3F"/>
    <w:rsid w:val="0004329D"/>
    <w:rsid w:val="00043551"/>
    <w:rsid w:val="000435E4"/>
    <w:rsid w:val="00044A51"/>
    <w:rsid w:val="00044B3E"/>
    <w:rsid w:val="000453F3"/>
    <w:rsid w:val="00045A24"/>
    <w:rsid w:val="000463C7"/>
    <w:rsid w:val="0004660C"/>
    <w:rsid w:val="00046730"/>
    <w:rsid w:val="00046924"/>
    <w:rsid w:val="00046AFC"/>
    <w:rsid w:val="00046C8F"/>
    <w:rsid w:val="00046E12"/>
    <w:rsid w:val="00050BCF"/>
    <w:rsid w:val="00050C3E"/>
    <w:rsid w:val="00051360"/>
    <w:rsid w:val="0005216F"/>
    <w:rsid w:val="00052429"/>
    <w:rsid w:val="000528FD"/>
    <w:rsid w:val="00052C17"/>
    <w:rsid w:val="00052DAC"/>
    <w:rsid w:val="00053F74"/>
    <w:rsid w:val="00054A58"/>
    <w:rsid w:val="00055065"/>
    <w:rsid w:val="0005648E"/>
    <w:rsid w:val="00057368"/>
    <w:rsid w:val="0006141F"/>
    <w:rsid w:val="00061683"/>
    <w:rsid w:val="000618E2"/>
    <w:rsid w:val="000628F2"/>
    <w:rsid w:val="00063DBC"/>
    <w:rsid w:val="0006454F"/>
    <w:rsid w:val="00064A8C"/>
    <w:rsid w:val="00064C66"/>
    <w:rsid w:val="00065000"/>
    <w:rsid w:val="000652DF"/>
    <w:rsid w:val="000668FE"/>
    <w:rsid w:val="00066E3A"/>
    <w:rsid w:val="00067118"/>
    <w:rsid w:val="00067211"/>
    <w:rsid w:val="00067A3D"/>
    <w:rsid w:val="00067D25"/>
    <w:rsid w:val="00067E84"/>
    <w:rsid w:val="000706E5"/>
    <w:rsid w:val="000707F2"/>
    <w:rsid w:val="0007105C"/>
    <w:rsid w:val="0007172B"/>
    <w:rsid w:val="00071B92"/>
    <w:rsid w:val="00072670"/>
    <w:rsid w:val="00072855"/>
    <w:rsid w:val="00073CEA"/>
    <w:rsid w:val="00074417"/>
    <w:rsid w:val="0007450E"/>
    <w:rsid w:val="00075CE5"/>
    <w:rsid w:val="00076518"/>
    <w:rsid w:val="00076628"/>
    <w:rsid w:val="00076C15"/>
    <w:rsid w:val="000773C2"/>
    <w:rsid w:val="000800DF"/>
    <w:rsid w:val="00080BC4"/>
    <w:rsid w:val="000814BD"/>
    <w:rsid w:val="00081A06"/>
    <w:rsid w:val="00081BB9"/>
    <w:rsid w:val="00081C75"/>
    <w:rsid w:val="00082614"/>
    <w:rsid w:val="00082F92"/>
    <w:rsid w:val="000833B1"/>
    <w:rsid w:val="00085538"/>
    <w:rsid w:val="00085CD2"/>
    <w:rsid w:val="00085ED9"/>
    <w:rsid w:val="000862BC"/>
    <w:rsid w:val="00086653"/>
    <w:rsid w:val="00086D6C"/>
    <w:rsid w:val="00086D74"/>
    <w:rsid w:val="00086EAF"/>
    <w:rsid w:val="0008717E"/>
    <w:rsid w:val="000872B8"/>
    <w:rsid w:val="00087C0D"/>
    <w:rsid w:val="00087ED1"/>
    <w:rsid w:val="000905F5"/>
    <w:rsid w:val="00090D26"/>
    <w:rsid w:val="00091339"/>
    <w:rsid w:val="00091887"/>
    <w:rsid w:val="000920AE"/>
    <w:rsid w:val="0009280D"/>
    <w:rsid w:val="00092BE3"/>
    <w:rsid w:val="00092E78"/>
    <w:rsid w:val="0009455D"/>
    <w:rsid w:val="000948B5"/>
    <w:rsid w:val="00094CF8"/>
    <w:rsid w:val="00094F8E"/>
    <w:rsid w:val="000953B0"/>
    <w:rsid w:val="00095D5D"/>
    <w:rsid w:val="00096A6A"/>
    <w:rsid w:val="00096E95"/>
    <w:rsid w:val="000970DF"/>
    <w:rsid w:val="00097489"/>
    <w:rsid w:val="00097B02"/>
    <w:rsid w:val="00097EFB"/>
    <w:rsid w:val="000A0123"/>
    <w:rsid w:val="000A0193"/>
    <w:rsid w:val="000A05C2"/>
    <w:rsid w:val="000A0D4D"/>
    <w:rsid w:val="000A0D7F"/>
    <w:rsid w:val="000A190C"/>
    <w:rsid w:val="000A3C55"/>
    <w:rsid w:val="000A499C"/>
    <w:rsid w:val="000A5942"/>
    <w:rsid w:val="000A59F3"/>
    <w:rsid w:val="000A6244"/>
    <w:rsid w:val="000A66D1"/>
    <w:rsid w:val="000A703B"/>
    <w:rsid w:val="000B06C0"/>
    <w:rsid w:val="000B06E7"/>
    <w:rsid w:val="000B088D"/>
    <w:rsid w:val="000B110E"/>
    <w:rsid w:val="000B11F4"/>
    <w:rsid w:val="000B1A3C"/>
    <w:rsid w:val="000B1AF8"/>
    <w:rsid w:val="000B272A"/>
    <w:rsid w:val="000B2A05"/>
    <w:rsid w:val="000B334C"/>
    <w:rsid w:val="000B4444"/>
    <w:rsid w:val="000B5743"/>
    <w:rsid w:val="000B5C17"/>
    <w:rsid w:val="000B5CF5"/>
    <w:rsid w:val="000B660B"/>
    <w:rsid w:val="000B663D"/>
    <w:rsid w:val="000B66D7"/>
    <w:rsid w:val="000B6F5F"/>
    <w:rsid w:val="000C01B5"/>
    <w:rsid w:val="000C0A6E"/>
    <w:rsid w:val="000C0B76"/>
    <w:rsid w:val="000C0CA3"/>
    <w:rsid w:val="000C0E97"/>
    <w:rsid w:val="000C1198"/>
    <w:rsid w:val="000C19A3"/>
    <w:rsid w:val="000C1DE8"/>
    <w:rsid w:val="000C210D"/>
    <w:rsid w:val="000C22B6"/>
    <w:rsid w:val="000C2536"/>
    <w:rsid w:val="000C2BFC"/>
    <w:rsid w:val="000C2D7B"/>
    <w:rsid w:val="000C3458"/>
    <w:rsid w:val="000C3B27"/>
    <w:rsid w:val="000C3B8D"/>
    <w:rsid w:val="000C4DBB"/>
    <w:rsid w:val="000C539A"/>
    <w:rsid w:val="000C588C"/>
    <w:rsid w:val="000C769A"/>
    <w:rsid w:val="000C7973"/>
    <w:rsid w:val="000C798B"/>
    <w:rsid w:val="000D0A06"/>
    <w:rsid w:val="000D1216"/>
    <w:rsid w:val="000D151D"/>
    <w:rsid w:val="000D1560"/>
    <w:rsid w:val="000D2A2A"/>
    <w:rsid w:val="000D39D7"/>
    <w:rsid w:val="000D3A63"/>
    <w:rsid w:val="000D4A31"/>
    <w:rsid w:val="000D5888"/>
    <w:rsid w:val="000D607A"/>
    <w:rsid w:val="000D6BEF"/>
    <w:rsid w:val="000D74AA"/>
    <w:rsid w:val="000D7882"/>
    <w:rsid w:val="000D7BE2"/>
    <w:rsid w:val="000E0660"/>
    <w:rsid w:val="000E18FA"/>
    <w:rsid w:val="000E1DEC"/>
    <w:rsid w:val="000E22E9"/>
    <w:rsid w:val="000E2B47"/>
    <w:rsid w:val="000E3111"/>
    <w:rsid w:val="000E433F"/>
    <w:rsid w:val="000E43E7"/>
    <w:rsid w:val="000E46D1"/>
    <w:rsid w:val="000E4795"/>
    <w:rsid w:val="000E4FD1"/>
    <w:rsid w:val="000E63C7"/>
    <w:rsid w:val="000E6E10"/>
    <w:rsid w:val="000E7234"/>
    <w:rsid w:val="000E7242"/>
    <w:rsid w:val="000E7911"/>
    <w:rsid w:val="000F07ED"/>
    <w:rsid w:val="000F08EE"/>
    <w:rsid w:val="000F0C87"/>
    <w:rsid w:val="000F234E"/>
    <w:rsid w:val="000F26CA"/>
    <w:rsid w:val="000F35D2"/>
    <w:rsid w:val="000F3628"/>
    <w:rsid w:val="000F3889"/>
    <w:rsid w:val="000F4F48"/>
    <w:rsid w:val="000F5D76"/>
    <w:rsid w:val="000F6717"/>
    <w:rsid w:val="000F6816"/>
    <w:rsid w:val="000F71C5"/>
    <w:rsid w:val="000F7E88"/>
    <w:rsid w:val="001005AD"/>
    <w:rsid w:val="0010084D"/>
    <w:rsid w:val="00100C30"/>
    <w:rsid w:val="00100E06"/>
    <w:rsid w:val="00101313"/>
    <w:rsid w:val="00101A37"/>
    <w:rsid w:val="00103ABD"/>
    <w:rsid w:val="001045C5"/>
    <w:rsid w:val="00104654"/>
    <w:rsid w:val="00104CF7"/>
    <w:rsid w:val="00105749"/>
    <w:rsid w:val="001059BE"/>
    <w:rsid w:val="00105C2E"/>
    <w:rsid w:val="00106CEF"/>
    <w:rsid w:val="00107A06"/>
    <w:rsid w:val="00110929"/>
    <w:rsid w:val="00112192"/>
    <w:rsid w:val="00112259"/>
    <w:rsid w:val="00112BAC"/>
    <w:rsid w:val="00113E25"/>
    <w:rsid w:val="00115681"/>
    <w:rsid w:val="00115CB2"/>
    <w:rsid w:val="001160BA"/>
    <w:rsid w:val="001169C6"/>
    <w:rsid w:val="00117E6B"/>
    <w:rsid w:val="00120202"/>
    <w:rsid w:val="0012087C"/>
    <w:rsid w:val="001211D8"/>
    <w:rsid w:val="0012120F"/>
    <w:rsid w:val="001234C4"/>
    <w:rsid w:val="001238E2"/>
    <w:rsid w:val="00123B04"/>
    <w:rsid w:val="001260B3"/>
    <w:rsid w:val="00126362"/>
    <w:rsid w:val="0012670B"/>
    <w:rsid w:val="0012680E"/>
    <w:rsid w:val="00130175"/>
    <w:rsid w:val="0013052B"/>
    <w:rsid w:val="00130B01"/>
    <w:rsid w:val="00130F0F"/>
    <w:rsid w:val="00131795"/>
    <w:rsid w:val="0013233F"/>
    <w:rsid w:val="00132CB3"/>
    <w:rsid w:val="0013364C"/>
    <w:rsid w:val="00134654"/>
    <w:rsid w:val="00135005"/>
    <w:rsid w:val="001357B0"/>
    <w:rsid w:val="00137383"/>
    <w:rsid w:val="0013760B"/>
    <w:rsid w:val="00137AC6"/>
    <w:rsid w:val="00137AE9"/>
    <w:rsid w:val="00137BDD"/>
    <w:rsid w:val="00141BE2"/>
    <w:rsid w:val="001422FA"/>
    <w:rsid w:val="001423A4"/>
    <w:rsid w:val="0014246C"/>
    <w:rsid w:val="0014267A"/>
    <w:rsid w:val="00142810"/>
    <w:rsid w:val="00142CD7"/>
    <w:rsid w:val="0014649F"/>
    <w:rsid w:val="001469CE"/>
    <w:rsid w:val="00146D7B"/>
    <w:rsid w:val="00146F3C"/>
    <w:rsid w:val="0014764E"/>
    <w:rsid w:val="00147C03"/>
    <w:rsid w:val="00147E15"/>
    <w:rsid w:val="0015013C"/>
    <w:rsid w:val="001501A4"/>
    <w:rsid w:val="00150FE6"/>
    <w:rsid w:val="00151697"/>
    <w:rsid w:val="00152A6E"/>
    <w:rsid w:val="00152EAC"/>
    <w:rsid w:val="00152FC6"/>
    <w:rsid w:val="001530CD"/>
    <w:rsid w:val="001530EC"/>
    <w:rsid w:val="00153B95"/>
    <w:rsid w:val="00154C1F"/>
    <w:rsid w:val="00154EDF"/>
    <w:rsid w:val="001552DD"/>
    <w:rsid w:val="001554E2"/>
    <w:rsid w:val="00156396"/>
    <w:rsid w:val="001564A8"/>
    <w:rsid w:val="00156580"/>
    <w:rsid w:val="00157020"/>
    <w:rsid w:val="00157DE1"/>
    <w:rsid w:val="001603C1"/>
    <w:rsid w:val="0016064B"/>
    <w:rsid w:val="00160CEE"/>
    <w:rsid w:val="00161163"/>
    <w:rsid w:val="001611DD"/>
    <w:rsid w:val="00161412"/>
    <w:rsid w:val="00162ACF"/>
    <w:rsid w:val="0016301D"/>
    <w:rsid w:val="001649C8"/>
    <w:rsid w:val="00164D17"/>
    <w:rsid w:val="00165DD4"/>
    <w:rsid w:val="001661E2"/>
    <w:rsid w:val="00166654"/>
    <w:rsid w:val="001675FF"/>
    <w:rsid w:val="00167609"/>
    <w:rsid w:val="001705E6"/>
    <w:rsid w:val="0017083D"/>
    <w:rsid w:val="001709D0"/>
    <w:rsid w:val="00170C9C"/>
    <w:rsid w:val="00170E70"/>
    <w:rsid w:val="00170FF4"/>
    <w:rsid w:val="00171C9E"/>
    <w:rsid w:val="00171DC6"/>
    <w:rsid w:val="001729C7"/>
    <w:rsid w:val="00172B71"/>
    <w:rsid w:val="00173369"/>
    <w:rsid w:val="00174831"/>
    <w:rsid w:val="001751B2"/>
    <w:rsid w:val="00175491"/>
    <w:rsid w:val="00176807"/>
    <w:rsid w:val="001769A9"/>
    <w:rsid w:val="00176A3A"/>
    <w:rsid w:val="00176B70"/>
    <w:rsid w:val="00177672"/>
    <w:rsid w:val="001777EC"/>
    <w:rsid w:val="00180400"/>
    <w:rsid w:val="0018061A"/>
    <w:rsid w:val="0018063D"/>
    <w:rsid w:val="00180D10"/>
    <w:rsid w:val="00181077"/>
    <w:rsid w:val="001812A1"/>
    <w:rsid w:val="001813DC"/>
    <w:rsid w:val="00181495"/>
    <w:rsid w:val="0018273A"/>
    <w:rsid w:val="00182DA8"/>
    <w:rsid w:val="00182F8A"/>
    <w:rsid w:val="001834CF"/>
    <w:rsid w:val="001842D0"/>
    <w:rsid w:val="00184300"/>
    <w:rsid w:val="0018444C"/>
    <w:rsid w:val="00184548"/>
    <w:rsid w:val="001853D2"/>
    <w:rsid w:val="00185EA1"/>
    <w:rsid w:val="00186356"/>
    <w:rsid w:val="00186618"/>
    <w:rsid w:val="00186D6D"/>
    <w:rsid w:val="00186E6A"/>
    <w:rsid w:val="0018703C"/>
    <w:rsid w:val="0018709A"/>
    <w:rsid w:val="001901E2"/>
    <w:rsid w:val="001904C3"/>
    <w:rsid w:val="00190B9E"/>
    <w:rsid w:val="0019164F"/>
    <w:rsid w:val="001918E5"/>
    <w:rsid w:val="00191931"/>
    <w:rsid w:val="001920E0"/>
    <w:rsid w:val="00192422"/>
    <w:rsid w:val="00192569"/>
    <w:rsid w:val="00193B1E"/>
    <w:rsid w:val="00194019"/>
    <w:rsid w:val="00195804"/>
    <w:rsid w:val="001959CB"/>
    <w:rsid w:val="00195EB0"/>
    <w:rsid w:val="00196B7F"/>
    <w:rsid w:val="00197120"/>
    <w:rsid w:val="001A0785"/>
    <w:rsid w:val="001A1682"/>
    <w:rsid w:val="001A227E"/>
    <w:rsid w:val="001A33D5"/>
    <w:rsid w:val="001A37A9"/>
    <w:rsid w:val="001A4218"/>
    <w:rsid w:val="001A43F0"/>
    <w:rsid w:val="001A499A"/>
    <w:rsid w:val="001A4BF5"/>
    <w:rsid w:val="001A4DB6"/>
    <w:rsid w:val="001A5A7B"/>
    <w:rsid w:val="001A6711"/>
    <w:rsid w:val="001A6872"/>
    <w:rsid w:val="001A72F4"/>
    <w:rsid w:val="001A7356"/>
    <w:rsid w:val="001A7BEF"/>
    <w:rsid w:val="001B025C"/>
    <w:rsid w:val="001B06D9"/>
    <w:rsid w:val="001B0B77"/>
    <w:rsid w:val="001B1031"/>
    <w:rsid w:val="001B1649"/>
    <w:rsid w:val="001B1E08"/>
    <w:rsid w:val="001B1E26"/>
    <w:rsid w:val="001B2110"/>
    <w:rsid w:val="001B2124"/>
    <w:rsid w:val="001B3C0D"/>
    <w:rsid w:val="001B408B"/>
    <w:rsid w:val="001B521E"/>
    <w:rsid w:val="001B52C7"/>
    <w:rsid w:val="001B55D3"/>
    <w:rsid w:val="001B6818"/>
    <w:rsid w:val="001B72AF"/>
    <w:rsid w:val="001B72C9"/>
    <w:rsid w:val="001B73D8"/>
    <w:rsid w:val="001B7BB3"/>
    <w:rsid w:val="001B7EA7"/>
    <w:rsid w:val="001C0024"/>
    <w:rsid w:val="001C0329"/>
    <w:rsid w:val="001C1627"/>
    <w:rsid w:val="001C1E6F"/>
    <w:rsid w:val="001C2137"/>
    <w:rsid w:val="001C235C"/>
    <w:rsid w:val="001C24AE"/>
    <w:rsid w:val="001C3A00"/>
    <w:rsid w:val="001C4617"/>
    <w:rsid w:val="001C4F7D"/>
    <w:rsid w:val="001C5159"/>
    <w:rsid w:val="001C5667"/>
    <w:rsid w:val="001C5843"/>
    <w:rsid w:val="001C5B8D"/>
    <w:rsid w:val="001C62F2"/>
    <w:rsid w:val="001C7238"/>
    <w:rsid w:val="001D08C1"/>
    <w:rsid w:val="001D0C11"/>
    <w:rsid w:val="001D132B"/>
    <w:rsid w:val="001D151D"/>
    <w:rsid w:val="001D1728"/>
    <w:rsid w:val="001D20B2"/>
    <w:rsid w:val="001D27A7"/>
    <w:rsid w:val="001D30DA"/>
    <w:rsid w:val="001D3244"/>
    <w:rsid w:val="001D330A"/>
    <w:rsid w:val="001D483E"/>
    <w:rsid w:val="001D53A2"/>
    <w:rsid w:val="001D55EB"/>
    <w:rsid w:val="001D5704"/>
    <w:rsid w:val="001D57B0"/>
    <w:rsid w:val="001D650D"/>
    <w:rsid w:val="001D65ED"/>
    <w:rsid w:val="001D7122"/>
    <w:rsid w:val="001D7741"/>
    <w:rsid w:val="001D7C3C"/>
    <w:rsid w:val="001E0139"/>
    <w:rsid w:val="001E02CD"/>
    <w:rsid w:val="001E04E7"/>
    <w:rsid w:val="001E057B"/>
    <w:rsid w:val="001E0726"/>
    <w:rsid w:val="001E0759"/>
    <w:rsid w:val="001E18DB"/>
    <w:rsid w:val="001E2B17"/>
    <w:rsid w:val="001E31E5"/>
    <w:rsid w:val="001E345A"/>
    <w:rsid w:val="001E4000"/>
    <w:rsid w:val="001E49F3"/>
    <w:rsid w:val="001E4AC0"/>
    <w:rsid w:val="001E5098"/>
    <w:rsid w:val="001E5819"/>
    <w:rsid w:val="001E5958"/>
    <w:rsid w:val="001E5963"/>
    <w:rsid w:val="001E5A06"/>
    <w:rsid w:val="001E5FE4"/>
    <w:rsid w:val="001E60E6"/>
    <w:rsid w:val="001E672A"/>
    <w:rsid w:val="001E6A2C"/>
    <w:rsid w:val="001E6A79"/>
    <w:rsid w:val="001E6B36"/>
    <w:rsid w:val="001E6CBD"/>
    <w:rsid w:val="001E6D18"/>
    <w:rsid w:val="001E75E0"/>
    <w:rsid w:val="001E78D6"/>
    <w:rsid w:val="001F022D"/>
    <w:rsid w:val="001F06A2"/>
    <w:rsid w:val="001F0E69"/>
    <w:rsid w:val="001F1998"/>
    <w:rsid w:val="001F3B78"/>
    <w:rsid w:val="001F3C7B"/>
    <w:rsid w:val="001F42F7"/>
    <w:rsid w:val="001F432B"/>
    <w:rsid w:val="001F5C5F"/>
    <w:rsid w:val="001F60C5"/>
    <w:rsid w:val="001F76B2"/>
    <w:rsid w:val="00200B7C"/>
    <w:rsid w:val="0020135A"/>
    <w:rsid w:val="00201370"/>
    <w:rsid w:val="00201392"/>
    <w:rsid w:val="00201579"/>
    <w:rsid w:val="002019C2"/>
    <w:rsid w:val="00201C41"/>
    <w:rsid w:val="00201E99"/>
    <w:rsid w:val="0020235A"/>
    <w:rsid w:val="00202B7E"/>
    <w:rsid w:val="00203100"/>
    <w:rsid w:val="00204AAC"/>
    <w:rsid w:val="00205052"/>
    <w:rsid w:val="00205A30"/>
    <w:rsid w:val="0020634A"/>
    <w:rsid w:val="0020726B"/>
    <w:rsid w:val="0020751B"/>
    <w:rsid w:val="00210E40"/>
    <w:rsid w:val="00210FEC"/>
    <w:rsid w:val="00211779"/>
    <w:rsid w:val="00211A16"/>
    <w:rsid w:val="00211B04"/>
    <w:rsid w:val="002139AD"/>
    <w:rsid w:val="002147F3"/>
    <w:rsid w:val="002148A5"/>
    <w:rsid w:val="00214B41"/>
    <w:rsid w:val="0021532D"/>
    <w:rsid w:val="002154DC"/>
    <w:rsid w:val="00216096"/>
    <w:rsid w:val="00216C15"/>
    <w:rsid w:val="00216C80"/>
    <w:rsid w:val="00216CD8"/>
    <w:rsid w:val="00216E7D"/>
    <w:rsid w:val="00217697"/>
    <w:rsid w:val="00220970"/>
    <w:rsid w:val="002209DB"/>
    <w:rsid w:val="00220AAD"/>
    <w:rsid w:val="002211F5"/>
    <w:rsid w:val="002217BE"/>
    <w:rsid w:val="0022187F"/>
    <w:rsid w:val="00222719"/>
    <w:rsid w:val="00222B53"/>
    <w:rsid w:val="00222C92"/>
    <w:rsid w:val="002239F8"/>
    <w:rsid w:val="00224650"/>
    <w:rsid w:val="00224907"/>
    <w:rsid w:val="0022510B"/>
    <w:rsid w:val="002260E5"/>
    <w:rsid w:val="00226540"/>
    <w:rsid w:val="00226F57"/>
    <w:rsid w:val="002276F6"/>
    <w:rsid w:val="00227BA8"/>
    <w:rsid w:val="00227F38"/>
    <w:rsid w:val="002301B9"/>
    <w:rsid w:val="00230E5C"/>
    <w:rsid w:val="00231D4C"/>
    <w:rsid w:val="0023200A"/>
    <w:rsid w:val="0023206E"/>
    <w:rsid w:val="002327A5"/>
    <w:rsid w:val="002329AD"/>
    <w:rsid w:val="00232AD5"/>
    <w:rsid w:val="00233B14"/>
    <w:rsid w:val="00233C4D"/>
    <w:rsid w:val="0023405F"/>
    <w:rsid w:val="00234728"/>
    <w:rsid w:val="00234E42"/>
    <w:rsid w:val="00235A17"/>
    <w:rsid w:val="00235BD2"/>
    <w:rsid w:val="00235E3D"/>
    <w:rsid w:val="00236AF1"/>
    <w:rsid w:val="0023766D"/>
    <w:rsid w:val="002379A2"/>
    <w:rsid w:val="00237D50"/>
    <w:rsid w:val="00240B8F"/>
    <w:rsid w:val="00240C99"/>
    <w:rsid w:val="00240E8E"/>
    <w:rsid w:val="002413C9"/>
    <w:rsid w:val="002426E0"/>
    <w:rsid w:val="00242BEE"/>
    <w:rsid w:val="00242C6D"/>
    <w:rsid w:val="0024368E"/>
    <w:rsid w:val="00243995"/>
    <w:rsid w:val="0024399C"/>
    <w:rsid w:val="00243E30"/>
    <w:rsid w:val="00244315"/>
    <w:rsid w:val="002445B7"/>
    <w:rsid w:val="00244C6A"/>
    <w:rsid w:val="00244D32"/>
    <w:rsid w:val="0024547A"/>
    <w:rsid w:val="002454E8"/>
    <w:rsid w:val="00245CBE"/>
    <w:rsid w:val="002465D7"/>
    <w:rsid w:val="00247526"/>
    <w:rsid w:val="002509F5"/>
    <w:rsid w:val="00250E26"/>
    <w:rsid w:val="00252C22"/>
    <w:rsid w:val="00254168"/>
    <w:rsid w:val="00254DFF"/>
    <w:rsid w:val="00254E69"/>
    <w:rsid w:val="00255238"/>
    <w:rsid w:val="00255AA9"/>
    <w:rsid w:val="00255CB6"/>
    <w:rsid w:val="00256562"/>
    <w:rsid w:val="00256B7B"/>
    <w:rsid w:val="00256FDC"/>
    <w:rsid w:val="00257334"/>
    <w:rsid w:val="00257CBC"/>
    <w:rsid w:val="00257D04"/>
    <w:rsid w:val="00257F65"/>
    <w:rsid w:val="00261163"/>
    <w:rsid w:val="00261434"/>
    <w:rsid w:val="002627D0"/>
    <w:rsid w:val="002637EF"/>
    <w:rsid w:val="00263CA1"/>
    <w:rsid w:val="00263CD4"/>
    <w:rsid w:val="00264369"/>
    <w:rsid w:val="00265682"/>
    <w:rsid w:val="00265D5C"/>
    <w:rsid w:val="00265F91"/>
    <w:rsid w:val="00266234"/>
    <w:rsid w:val="0026674E"/>
    <w:rsid w:val="00266F17"/>
    <w:rsid w:val="00270DEF"/>
    <w:rsid w:val="00271A98"/>
    <w:rsid w:val="00271AE3"/>
    <w:rsid w:val="002734ED"/>
    <w:rsid w:val="0027359E"/>
    <w:rsid w:val="002738C9"/>
    <w:rsid w:val="00273BB5"/>
    <w:rsid w:val="00274AA2"/>
    <w:rsid w:val="00274AA4"/>
    <w:rsid w:val="00274C59"/>
    <w:rsid w:val="002753BD"/>
    <w:rsid w:val="002758C5"/>
    <w:rsid w:val="00277C33"/>
    <w:rsid w:val="00277CE5"/>
    <w:rsid w:val="0028000F"/>
    <w:rsid w:val="002808D8"/>
    <w:rsid w:val="00280D35"/>
    <w:rsid w:val="00280EEF"/>
    <w:rsid w:val="002810ED"/>
    <w:rsid w:val="00281272"/>
    <w:rsid w:val="00281C84"/>
    <w:rsid w:val="00281EA7"/>
    <w:rsid w:val="002820C2"/>
    <w:rsid w:val="0028305E"/>
    <w:rsid w:val="002836AB"/>
    <w:rsid w:val="0028431A"/>
    <w:rsid w:val="00285323"/>
    <w:rsid w:val="00285BD1"/>
    <w:rsid w:val="002868DE"/>
    <w:rsid w:val="002872B6"/>
    <w:rsid w:val="0028789E"/>
    <w:rsid w:val="00287C1F"/>
    <w:rsid w:val="00290147"/>
    <w:rsid w:val="002909D0"/>
    <w:rsid w:val="00291094"/>
    <w:rsid w:val="002910F2"/>
    <w:rsid w:val="002926DA"/>
    <w:rsid w:val="00293326"/>
    <w:rsid w:val="0029360F"/>
    <w:rsid w:val="002936B9"/>
    <w:rsid w:val="00294131"/>
    <w:rsid w:val="002945FE"/>
    <w:rsid w:val="00295CCD"/>
    <w:rsid w:val="00296E73"/>
    <w:rsid w:val="0029757E"/>
    <w:rsid w:val="002977D4"/>
    <w:rsid w:val="002A156B"/>
    <w:rsid w:val="002A2B0D"/>
    <w:rsid w:val="002A2BFE"/>
    <w:rsid w:val="002A3158"/>
    <w:rsid w:val="002A31E7"/>
    <w:rsid w:val="002A3370"/>
    <w:rsid w:val="002A3F78"/>
    <w:rsid w:val="002A46C0"/>
    <w:rsid w:val="002A74C1"/>
    <w:rsid w:val="002A76C3"/>
    <w:rsid w:val="002A77DC"/>
    <w:rsid w:val="002A7B02"/>
    <w:rsid w:val="002A7D13"/>
    <w:rsid w:val="002B08E4"/>
    <w:rsid w:val="002B0D76"/>
    <w:rsid w:val="002B3246"/>
    <w:rsid w:val="002B4219"/>
    <w:rsid w:val="002B4958"/>
    <w:rsid w:val="002B6176"/>
    <w:rsid w:val="002B627E"/>
    <w:rsid w:val="002B6DD9"/>
    <w:rsid w:val="002B719F"/>
    <w:rsid w:val="002B71D5"/>
    <w:rsid w:val="002B7823"/>
    <w:rsid w:val="002C152B"/>
    <w:rsid w:val="002C1C1B"/>
    <w:rsid w:val="002C2916"/>
    <w:rsid w:val="002C2F4F"/>
    <w:rsid w:val="002C4C07"/>
    <w:rsid w:val="002C5290"/>
    <w:rsid w:val="002C58FB"/>
    <w:rsid w:val="002C5AC2"/>
    <w:rsid w:val="002C5C0E"/>
    <w:rsid w:val="002C638B"/>
    <w:rsid w:val="002C7FC5"/>
    <w:rsid w:val="002D03AB"/>
    <w:rsid w:val="002D070A"/>
    <w:rsid w:val="002D251B"/>
    <w:rsid w:val="002D3064"/>
    <w:rsid w:val="002D3D03"/>
    <w:rsid w:val="002D41A4"/>
    <w:rsid w:val="002D45BD"/>
    <w:rsid w:val="002D4D7B"/>
    <w:rsid w:val="002D6C7B"/>
    <w:rsid w:val="002D6E2A"/>
    <w:rsid w:val="002D6E92"/>
    <w:rsid w:val="002D73F0"/>
    <w:rsid w:val="002D7B9F"/>
    <w:rsid w:val="002E049A"/>
    <w:rsid w:val="002E0B53"/>
    <w:rsid w:val="002E0DA7"/>
    <w:rsid w:val="002E0E21"/>
    <w:rsid w:val="002E0E99"/>
    <w:rsid w:val="002E18C2"/>
    <w:rsid w:val="002E21E5"/>
    <w:rsid w:val="002E3292"/>
    <w:rsid w:val="002E3A98"/>
    <w:rsid w:val="002E3ADD"/>
    <w:rsid w:val="002E3DAB"/>
    <w:rsid w:val="002E46E6"/>
    <w:rsid w:val="002E4B2F"/>
    <w:rsid w:val="002E4C07"/>
    <w:rsid w:val="002E65CE"/>
    <w:rsid w:val="002E6CD0"/>
    <w:rsid w:val="002E7779"/>
    <w:rsid w:val="002F0D21"/>
    <w:rsid w:val="002F13DA"/>
    <w:rsid w:val="002F1EAE"/>
    <w:rsid w:val="002F216F"/>
    <w:rsid w:val="002F227E"/>
    <w:rsid w:val="002F3C65"/>
    <w:rsid w:val="002F446F"/>
    <w:rsid w:val="002F52D2"/>
    <w:rsid w:val="002F58DF"/>
    <w:rsid w:val="002F5C29"/>
    <w:rsid w:val="002F7700"/>
    <w:rsid w:val="002F77CA"/>
    <w:rsid w:val="002F7B93"/>
    <w:rsid w:val="00300A2F"/>
    <w:rsid w:val="00300EF7"/>
    <w:rsid w:val="00303238"/>
    <w:rsid w:val="003033A6"/>
    <w:rsid w:val="003036FB"/>
    <w:rsid w:val="0030395C"/>
    <w:rsid w:val="003040E0"/>
    <w:rsid w:val="0030568B"/>
    <w:rsid w:val="003064AB"/>
    <w:rsid w:val="003066A5"/>
    <w:rsid w:val="00306CDB"/>
    <w:rsid w:val="00306D74"/>
    <w:rsid w:val="00307910"/>
    <w:rsid w:val="00307CC6"/>
    <w:rsid w:val="00307D40"/>
    <w:rsid w:val="00307F28"/>
    <w:rsid w:val="00310282"/>
    <w:rsid w:val="00310555"/>
    <w:rsid w:val="00311007"/>
    <w:rsid w:val="003117A6"/>
    <w:rsid w:val="00311917"/>
    <w:rsid w:val="0031269E"/>
    <w:rsid w:val="00313E7F"/>
    <w:rsid w:val="0031530E"/>
    <w:rsid w:val="00315A4E"/>
    <w:rsid w:val="00316278"/>
    <w:rsid w:val="00316BE1"/>
    <w:rsid w:val="003170CF"/>
    <w:rsid w:val="003177AB"/>
    <w:rsid w:val="003178E5"/>
    <w:rsid w:val="003205EB"/>
    <w:rsid w:val="003207C2"/>
    <w:rsid w:val="00320902"/>
    <w:rsid w:val="00320A02"/>
    <w:rsid w:val="00320A43"/>
    <w:rsid w:val="00320E85"/>
    <w:rsid w:val="00321D18"/>
    <w:rsid w:val="00322487"/>
    <w:rsid w:val="003229E6"/>
    <w:rsid w:val="00322CD9"/>
    <w:rsid w:val="003230F7"/>
    <w:rsid w:val="00323431"/>
    <w:rsid w:val="003235F3"/>
    <w:rsid w:val="00323B72"/>
    <w:rsid w:val="00324676"/>
    <w:rsid w:val="00324685"/>
    <w:rsid w:val="0032480A"/>
    <w:rsid w:val="003254DB"/>
    <w:rsid w:val="0032612F"/>
    <w:rsid w:val="0032626B"/>
    <w:rsid w:val="00326F41"/>
    <w:rsid w:val="003306EF"/>
    <w:rsid w:val="0033083F"/>
    <w:rsid w:val="00330D54"/>
    <w:rsid w:val="00330E76"/>
    <w:rsid w:val="0033100C"/>
    <w:rsid w:val="00331306"/>
    <w:rsid w:val="00331767"/>
    <w:rsid w:val="00331A73"/>
    <w:rsid w:val="00332621"/>
    <w:rsid w:val="00333429"/>
    <w:rsid w:val="003335BF"/>
    <w:rsid w:val="00333926"/>
    <w:rsid w:val="00333BAE"/>
    <w:rsid w:val="00333EC3"/>
    <w:rsid w:val="00334589"/>
    <w:rsid w:val="00334F4C"/>
    <w:rsid w:val="00335A20"/>
    <w:rsid w:val="00335CE0"/>
    <w:rsid w:val="00337238"/>
    <w:rsid w:val="0034085B"/>
    <w:rsid w:val="00341476"/>
    <w:rsid w:val="00341682"/>
    <w:rsid w:val="00343183"/>
    <w:rsid w:val="0034332A"/>
    <w:rsid w:val="00343E27"/>
    <w:rsid w:val="003446E6"/>
    <w:rsid w:val="00344A59"/>
    <w:rsid w:val="00344CB3"/>
    <w:rsid w:val="00345D9E"/>
    <w:rsid w:val="003464B0"/>
    <w:rsid w:val="0034651E"/>
    <w:rsid w:val="0034653A"/>
    <w:rsid w:val="00346580"/>
    <w:rsid w:val="0034704C"/>
    <w:rsid w:val="00347AAB"/>
    <w:rsid w:val="00347C2D"/>
    <w:rsid w:val="00351DD4"/>
    <w:rsid w:val="0035216B"/>
    <w:rsid w:val="0035255F"/>
    <w:rsid w:val="003528FD"/>
    <w:rsid w:val="0035375F"/>
    <w:rsid w:val="00354083"/>
    <w:rsid w:val="00354346"/>
    <w:rsid w:val="003543A7"/>
    <w:rsid w:val="0035481E"/>
    <w:rsid w:val="003548A0"/>
    <w:rsid w:val="003549E0"/>
    <w:rsid w:val="00354E11"/>
    <w:rsid w:val="00354EB3"/>
    <w:rsid w:val="00355622"/>
    <w:rsid w:val="003558A7"/>
    <w:rsid w:val="003562F5"/>
    <w:rsid w:val="00356B33"/>
    <w:rsid w:val="00356D5D"/>
    <w:rsid w:val="003570C6"/>
    <w:rsid w:val="00357B47"/>
    <w:rsid w:val="00360826"/>
    <w:rsid w:val="00360B05"/>
    <w:rsid w:val="00360C96"/>
    <w:rsid w:val="003614AC"/>
    <w:rsid w:val="003617B4"/>
    <w:rsid w:val="003621FC"/>
    <w:rsid w:val="00362D89"/>
    <w:rsid w:val="003639B0"/>
    <w:rsid w:val="00363CB7"/>
    <w:rsid w:val="0036416A"/>
    <w:rsid w:val="00364609"/>
    <w:rsid w:val="0036587F"/>
    <w:rsid w:val="00365A42"/>
    <w:rsid w:val="0036606B"/>
    <w:rsid w:val="003666CB"/>
    <w:rsid w:val="003666F1"/>
    <w:rsid w:val="00366AC1"/>
    <w:rsid w:val="00366F86"/>
    <w:rsid w:val="003676ED"/>
    <w:rsid w:val="00367A4B"/>
    <w:rsid w:val="00367E8D"/>
    <w:rsid w:val="00367F64"/>
    <w:rsid w:val="00371A76"/>
    <w:rsid w:val="00372518"/>
    <w:rsid w:val="00372C2C"/>
    <w:rsid w:val="00372EFB"/>
    <w:rsid w:val="00373F0C"/>
    <w:rsid w:val="00374B61"/>
    <w:rsid w:val="00375338"/>
    <w:rsid w:val="0037568B"/>
    <w:rsid w:val="00375FD9"/>
    <w:rsid w:val="00376702"/>
    <w:rsid w:val="00376AEE"/>
    <w:rsid w:val="00380892"/>
    <w:rsid w:val="00381F7A"/>
    <w:rsid w:val="00382A00"/>
    <w:rsid w:val="00383F1B"/>
    <w:rsid w:val="003856D8"/>
    <w:rsid w:val="00386426"/>
    <w:rsid w:val="00387E2E"/>
    <w:rsid w:val="00387E3B"/>
    <w:rsid w:val="00387EF3"/>
    <w:rsid w:val="00387FA8"/>
    <w:rsid w:val="00390153"/>
    <w:rsid w:val="0039196F"/>
    <w:rsid w:val="003931CF"/>
    <w:rsid w:val="003937FF"/>
    <w:rsid w:val="00394603"/>
    <w:rsid w:val="0039460D"/>
    <w:rsid w:val="003961FC"/>
    <w:rsid w:val="0039699C"/>
    <w:rsid w:val="003976FD"/>
    <w:rsid w:val="00397A6A"/>
    <w:rsid w:val="00397B1F"/>
    <w:rsid w:val="003A0321"/>
    <w:rsid w:val="003A090B"/>
    <w:rsid w:val="003A15C6"/>
    <w:rsid w:val="003A1861"/>
    <w:rsid w:val="003A1BCF"/>
    <w:rsid w:val="003A217E"/>
    <w:rsid w:val="003A25B2"/>
    <w:rsid w:val="003A2E37"/>
    <w:rsid w:val="003A2F27"/>
    <w:rsid w:val="003A30D6"/>
    <w:rsid w:val="003A3D4E"/>
    <w:rsid w:val="003A4335"/>
    <w:rsid w:val="003A445B"/>
    <w:rsid w:val="003A4D2D"/>
    <w:rsid w:val="003A4FC7"/>
    <w:rsid w:val="003A64D7"/>
    <w:rsid w:val="003A66F3"/>
    <w:rsid w:val="003A6C16"/>
    <w:rsid w:val="003A6C3C"/>
    <w:rsid w:val="003A6ECE"/>
    <w:rsid w:val="003A6EE6"/>
    <w:rsid w:val="003A7B20"/>
    <w:rsid w:val="003A7F3C"/>
    <w:rsid w:val="003B1239"/>
    <w:rsid w:val="003B13BB"/>
    <w:rsid w:val="003B207B"/>
    <w:rsid w:val="003B36EF"/>
    <w:rsid w:val="003B3A4F"/>
    <w:rsid w:val="003B3C3A"/>
    <w:rsid w:val="003B3E72"/>
    <w:rsid w:val="003B4467"/>
    <w:rsid w:val="003B4B05"/>
    <w:rsid w:val="003B58AD"/>
    <w:rsid w:val="003B688A"/>
    <w:rsid w:val="003B7024"/>
    <w:rsid w:val="003C0192"/>
    <w:rsid w:val="003C0AD2"/>
    <w:rsid w:val="003C2929"/>
    <w:rsid w:val="003C2EF0"/>
    <w:rsid w:val="003C2F82"/>
    <w:rsid w:val="003C385E"/>
    <w:rsid w:val="003C4058"/>
    <w:rsid w:val="003C4383"/>
    <w:rsid w:val="003C4A85"/>
    <w:rsid w:val="003C4E38"/>
    <w:rsid w:val="003C4F0A"/>
    <w:rsid w:val="003C4FA0"/>
    <w:rsid w:val="003C5827"/>
    <w:rsid w:val="003C5D5F"/>
    <w:rsid w:val="003C62EF"/>
    <w:rsid w:val="003C6AA2"/>
    <w:rsid w:val="003C6DF7"/>
    <w:rsid w:val="003C6FFE"/>
    <w:rsid w:val="003C75AB"/>
    <w:rsid w:val="003C77F1"/>
    <w:rsid w:val="003C7BE1"/>
    <w:rsid w:val="003C7DD3"/>
    <w:rsid w:val="003D0498"/>
    <w:rsid w:val="003D04AC"/>
    <w:rsid w:val="003D0958"/>
    <w:rsid w:val="003D14E0"/>
    <w:rsid w:val="003D1EE5"/>
    <w:rsid w:val="003D2588"/>
    <w:rsid w:val="003D2BD3"/>
    <w:rsid w:val="003D2D96"/>
    <w:rsid w:val="003D3413"/>
    <w:rsid w:val="003D36EA"/>
    <w:rsid w:val="003D3B33"/>
    <w:rsid w:val="003D3DAF"/>
    <w:rsid w:val="003D567B"/>
    <w:rsid w:val="003D6A0F"/>
    <w:rsid w:val="003D7466"/>
    <w:rsid w:val="003E11B9"/>
    <w:rsid w:val="003E1F9C"/>
    <w:rsid w:val="003E2095"/>
    <w:rsid w:val="003E2E61"/>
    <w:rsid w:val="003E43F7"/>
    <w:rsid w:val="003E49D0"/>
    <w:rsid w:val="003E60C6"/>
    <w:rsid w:val="003E6F1D"/>
    <w:rsid w:val="003E7828"/>
    <w:rsid w:val="003E7DD7"/>
    <w:rsid w:val="003E7F4E"/>
    <w:rsid w:val="003E7F88"/>
    <w:rsid w:val="003F023B"/>
    <w:rsid w:val="003F0D92"/>
    <w:rsid w:val="003F0ECF"/>
    <w:rsid w:val="003F132D"/>
    <w:rsid w:val="003F14B0"/>
    <w:rsid w:val="003F216B"/>
    <w:rsid w:val="003F300C"/>
    <w:rsid w:val="003F339B"/>
    <w:rsid w:val="003F34C4"/>
    <w:rsid w:val="003F4F20"/>
    <w:rsid w:val="003F5F1E"/>
    <w:rsid w:val="003F65F6"/>
    <w:rsid w:val="003F665B"/>
    <w:rsid w:val="003F6A22"/>
    <w:rsid w:val="003F72F4"/>
    <w:rsid w:val="003F77AC"/>
    <w:rsid w:val="003F7EA7"/>
    <w:rsid w:val="004001F6"/>
    <w:rsid w:val="00400FE9"/>
    <w:rsid w:val="0040207C"/>
    <w:rsid w:val="00402160"/>
    <w:rsid w:val="004031C0"/>
    <w:rsid w:val="0040444F"/>
    <w:rsid w:val="00404C94"/>
    <w:rsid w:val="00405141"/>
    <w:rsid w:val="00405547"/>
    <w:rsid w:val="004055E0"/>
    <w:rsid w:val="004058FB"/>
    <w:rsid w:val="00405D35"/>
    <w:rsid w:val="00405EFA"/>
    <w:rsid w:val="00406841"/>
    <w:rsid w:val="00406989"/>
    <w:rsid w:val="0041048D"/>
    <w:rsid w:val="00410CE1"/>
    <w:rsid w:val="0041187D"/>
    <w:rsid w:val="0041442C"/>
    <w:rsid w:val="00414973"/>
    <w:rsid w:val="00414C62"/>
    <w:rsid w:val="00414FF1"/>
    <w:rsid w:val="0041555C"/>
    <w:rsid w:val="004165A0"/>
    <w:rsid w:val="00416B48"/>
    <w:rsid w:val="00416CC5"/>
    <w:rsid w:val="00417138"/>
    <w:rsid w:val="00417A85"/>
    <w:rsid w:val="00417E42"/>
    <w:rsid w:val="00417F84"/>
    <w:rsid w:val="00417FA5"/>
    <w:rsid w:val="00420037"/>
    <w:rsid w:val="00420A2B"/>
    <w:rsid w:val="00420E1C"/>
    <w:rsid w:val="004218C6"/>
    <w:rsid w:val="00421981"/>
    <w:rsid w:val="004233DA"/>
    <w:rsid w:val="0042367B"/>
    <w:rsid w:val="00423AC7"/>
    <w:rsid w:val="00425500"/>
    <w:rsid w:val="00426208"/>
    <w:rsid w:val="004266BE"/>
    <w:rsid w:val="00427201"/>
    <w:rsid w:val="004305B9"/>
    <w:rsid w:val="00431F12"/>
    <w:rsid w:val="00432505"/>
    <w:rsid w:val="004328B2"/>
    <w:rsid w:val="00432FEA"/>
    <w:rsid w:val="00433406"/>
    <w:rsid w:val="004336B1"/>
    <w:rsid w:val="00433A4B"/>
    <w:rsid w:val="0043405D"/>
    <w:rsid w:val="00434BD5"/>
    <w:rsid w:val="00435915"/>
    <w:rsid w:val="004359F8"/>
    <w:rsid w:val="0043643D"/>
    <w:rsid w:val="004365C7"/>
    <w:rsid w:val="0043669B"/>
    <w:rsid w:val="00437718"/>
    <w:rsid w:val="00437F73"/>
    <w:rsid w:val="00437FB1"/>
    <w:rsid w:val="0044052C"/>
    <w:rsid w:val="004406D7"/>
    <w:rsid w:val="004413F3"/>
    <w:rsid w:val="0044188A"/>
    <w:rsid w:val="004423C6"/>
    <w:rsid w:val="004424E0"/>
    <w:rsid w:val="00442A39"/>
    <w:rsid w:val="00442D25"/>
    <w:rsid w:val="00443291"/>
    <w:rsid w:val="004443C5"/>
    <w:rsid w:val="004450D2"/>
    <w:rsid w:val="004453AB"/>
    <w:rsid w:val="00445657"/>
    <w:rsid w:val="00445C8E"/>
    <w:rsid w:val="0044637C"/>
    <w:rsid w:val="004467D3"/>
    <w:rsid w:val="004474C6"/>
    <w:rsid w:val="00447CDB"/>
    <w:rsid w:val="00447E0E"/>
    <w:rsid w:val="00450107"/>
    <w:rsid w:val="00450C82"/>
    <w:rsid w:val="0045123B"/>
    <w:rsid w:val="004517DF"/>
    <w:rsid w:val="00452358"/>
    <w:rsid w:val="004532F5"/>
    <w:rsid w:val="0045446A"/>
    <w:rsid w:val="00454A7E"/>
    <w:rsid w:val="00455258"/>
    <w:rsid w:val="00455289"/>
    <w:rsid w:val="00455A00"/>
    <w:rsid w:val="00455FBE"/>
    <w:rsid w:val="004567C0"/>
    <w:rsid w:val="004570B0"/>
    <w:rsid w:val="00460D44"/>
    <w:rsid w:val="00460F5C"/>
    <w:rsid w:val="00460FF6"/>
    <w:rsid w:val="00461422"/>
    <w:rsid w:val="00461DDB"/>
    <w:rsid w:val="00462E7E"/>
    <w:rsid w:val="004632FA"/>
    <w:rsid w:val="004638DF"/>
    <w:rsid w:val="004653DA"/>
    <w:rsid w:val="00465751"/>
    <w:rsid w:val="00467A84"/>
    <w:rsid w:val="00467C5C"/>
    <w:rsid w:val="00470DC6"/>
    <w:rsid w:val="00470E52"/>
    <w:rsid w:val="004711A4"/>
    <w:rsid w:val="0047141D"/>
    <w:rsid w:val="00471741"/>
    <w:rsid w:val="00472E16"/>
    <w:rsid w:val="00472F19"/>
    <w:rsid w:val="00472F5C"/>
    <w:rsid w:val="00472F98"/>
    <w:rsid w:val="0047383B"/>
    <w:rsid w:val="00473E78"/>
    <w:rsid w:val="00475365"/>
    <w:rsid w:val="004757C1"/>
    <w:rsid w:val="00476227"/>
    <w:rsid w:val="0047657B"/>
    <w:rsid w:val="00476D33"/>
    <w:rsid w:val="00481EAC"/>
    <w:rsid w:val="0048257B"/>
    <w:rsid w:val="00482CDE"/>
    <w:rsid w:val="0048305F"/>
    <w:rsid w:val="004839F3"/>
    <w:rsid w:val="00484569"/>
    <w:rsid w:val="00484FC1"/>
    <w:rsid w:val="00485273"/>
    <w:rsid w:val="00486D8E"/>
    <w:rsid w:val="0048785E"/>
    <w:rsid w:val="00487C18"/>
    <w:rsid w:val="00487D1A"/>
    <w:rsid w:val="00487E31"/>
    <w:rsid w:val="0049009C"/>
    <w:rsid w:val="0049012E"/>
    <w:rsid w:val="004918BC"/>
    <w:rsid w:val="004924CA"/>
    <w:rsid w:val="00494472"/>
    <w:rsid w:val="00494675"/>
    <w:rsid w:val="00496D4F"/>
    <w:rsid w:val="0049704B"/>
    <w:rsid w:val="00497C45"/>
    <w:rsid w:val="004A02A1"/>
    <w:rsid w:val="004A0515"/>
    <w:rsid w:val="004A13D6"/>
    <w:rsid w:val="004A193F"/>
    <w:rsid w:val="004A271B"/>
    <w:rsid w:val="004A2B91"/>
    <w:rsid w:val="004A31D7"/>
    <w:rsid w:val="004A40DA"/>
    <w:rsid w:val="004A41EE"/>
    <w:rsid w:val="004A4F94"/>
    <w:rsid w:val="004A503A"/>
    <w:rsid w:val="004A5205"/>
    <w:rsid w:val="004A55FE"/>
    <w:rsid w:val="004A5675"/>
    <w:rsid w:val="004A62F6"/>
    <w:rsid w:val="004A66C6"/>
    <w:rsid w:val="004A6DEF"/>
    <w:rsid w:val="004A6FAF"/>
    <w:rsid w:val="004A75B0"/>
    <w:rsid w:val="004A7E09"/>
    <w:rsid w:val="004A7F07"/>
    <w:rsid w:val="004B0111"/>
    <w:rsid w:val="004B1042"/>
    <w:rsid w:val="004B1254"/>
    <w:rsid w:val="004B1359"/>
    <w:rsid w:val="004B1991"/>
    <w:rsid w:val="004B1BD4"/>
    <w:rsid w:val="004B20C1"/>
    <w:rsid w:val="004B2C7A"/>
    <w:rsid w:val="004B3830"/>
    <w:rsid w:val="004B3AA3"/>
    <w:rsid w:val="004B61F5"/>
    <w:rsid w:val="004B63AC"/>
    <w:rsid w:val="004B6685"/>
    <w:rsid w:val="004B66B9"/>
    <w:rsid w:val="004B7828"/>
    <w:rsid w:val="004C0711"/>
    <w:rsid w:val="004C09A5"/>
    <w:rsid w:val="004C0E60"/>
    <w:rsid w:val="004C16D5"/>
    <w:rsid w:val="004C29EC"/>
    <w:rsid w:val="004C3DBB"/>
    <w:rsid w:val="004C47B1"/>
    <w:rsid w:val="004C4AEC"/>
    <w:rsid w:val="004C56FF"/>
    <w:rsid w:val="004C5D05"/>
    <w:rsid w:val="004C656D"/>
    <w:rsid w:val="004C68C2"/>
    <w:rsid w:val="004C6E58"/>
    <w:rsid w:val="004C70D5"/>
    <w:rsid w:val="004C7141"/>
    <w:rsid w:val="004C71D3"/>
    <w:rsid w:val="004D021A"/>
    <w:rsid w:val="004D0D6A"/>
    <w:rsid w:val="004D0FE8"/>
    <w:rsid w:val="004D1168"/>
    <w:rsid w:val="004D12D1"/>
    <w:rsid w:val="004D136E"/>
    <w:rsid w:val="004D15A6"/>
    <w:rsid w:val="004D1FFB"/>
    <w:rsid w:val="004D22C0"/>
    <w:rsid w:val="004D258A"/>
    <w:rsid w:val="004D2591"/>
    <w:rsid w:val="004D28A4"/>
    <w:rsid w:val="004D3190"/>
    <w:rsid w:val="004D3DEC"/>
    <w:rsid w:val="004D3F9C"/>
    <w:rsid w:val="004D40C7"/>
    <w:rsid w:val="004D428D"/>
    <w:rsid w:val="004D4BF1"/>
    <w:rsid w:val="004D6BEE"/>
    <w:rsid w:val="004D782F"/>
    <w:rsid w:val="004D7E51"/>
    <w:rsid w:val="004E07F4"/>
    <w:rsid w:val="004E16A7"/>
    <w:rsid w:val="004E2078"/>
    <w:rsid w:val="004E2436"/>
    <w:rsid w:val="004E2D2E"/>
    <w:rsid w:val="004E3440"/>
    <w:rsid w:val="004E3602"/>
    <w:rsid w:val="004E3C5D"/>
    <w:rsid w:val="004E4186"/>
    <w:rsid w:val="004E4268"/>
    <w:rsid w:val="004E4C45"/>
    <w:rsid w:val="004E504C"/>
    <w:rsid w:val="004E5063"/>
    <w:rsid w:val="004E519D"/>
    <w:rsid w:val="004E622E"/>
    <w:rsid w:val="004E6F8B"/>
    <w:rsid w:val="004E74C3"/>
    <w:rsid w:val="004E79C9"/>
    <w:rsid w:val="004E7B47"/>
    <w:rsid w:val="004E7FB6"/>
    <w:rsid w:val="004F2423"/>
    <w:rsid w:val="004F2979"/>
    <w:rsid w:val="004F3004"/>
    <w:rsid w:val="004F35B7"/>
    <w:rsid w:val="004F392F"/>
    <w:rsid w:val="004F3B72"/>
    <w:rsid w:val="004F46BA"/>
    <w:rsid w:val="004F4850"/>
    <w:rsid w:val="004F5B55"/>
    <w:rsid w:val="004F5B5D"/>
    <w:rsid w:val="004F6046"/>
    <w:rsid w:val="004F650C"/>
    <w:rsid w:val="004F731B"/>
    <w:rsid w:val="00501067"/>
    <w:rsid w:val="00501BBB"/>
    <w:rsid w:val="00501D9A"/>
    <w:rsid w:val="0050240F"/>
    <w:rsid w:val="005028C9"/>
    <w:rsid w:val="00502AB8"/>
    <w:rsid w:val="00502C07"/>
    <w:rsid w:val="005034D0"/>
    <w:rsid w:val="005038F4"/>
    <w:rsid w:val="00503FC6"/>
    <w:rsid w:val="00504998"/>
    <w:rsid w:val="00504CBC"/>
    <w:rsid w:val="00505B4B"/>
    <w:rsid w:val="00505B5E"/>
    <w:rsid w:val="00506143"/>
    <w:rsid w:val="0051028A"/>
    <w:rsid w:val="0051082B"/>
    <w:rsid w:val="005109D7"/>
    <w:rsid w:val="00510ADE"/>
    <w:rsid w:val="005124D6"/>
    <w:rsid w:val="0051257B"/>
    <w:rsid w:val="005125E8"/>
    <w:rsid w:val="00513E3C"/>
    <w:rsid w:val="00513E59"/>
    <w:rsid w:val="00513F9B"/>
    <w:rsid w:val="0051406F"/>
    <w:rsid w:val="005157BD"/>
    <w:rsid w:val="00515E14"/>
    <w:rsid w:val="005160F4"/>
    <w:rsid w:val="00516706"/>
    <w:rsid w:val="00516803"/>
    <w:rsid w:val="00520084"/>
    <w:rsid w:val="00520CCD"/>
    <w:rsid w:val="0052115E"/>
    <w:rsid w:val="00521507"/>
    <w:rsid w:val="0052240F"/>
    <w:rsid w:val="0052363C"/>
    <w:rsid w:val="0052404B"/>
    <w:rsid w:val="00524CD4"/>
    <w:rsid w:val="005269D3"/>
    <w:rsid w:val="005271E7"/>
    <w:rsid w:val="00527C6A"/>
    <w:rsid w:val="00530317"/>
    <w:rsid w:val="0053063E"/>
    <w:rsid w:val="0053073D"/>
    <w:rsid w:val="005312FA"/>
    <w:rsid w:val="00531344"/>
    <w:rsid w:val="00531524"/>
    <w:rsid w:val="00531C1B"/>
    <w:rsid w:val="00532DDE"/>
    <w:rsid w:val="00533812"/>
    <w:rsid w:val="0053395B"/>
    <w:rsid w:val="00534C12"/>
    <w:rsid w:val="00534E09"/>
    <w:rsid w:val="005354D7"/>
    <w:rsid w:val="00535FE2"/>
    <w:rsid w:val="00536046"/>
    <w:rsid w:val="005360B8"/>
    <w:rsid w:val="00536E91"/>
    <w:rsid w:val="00536FBE"/>
    <w:rsid w:val="00540AA4"/>
    <w:rsid w:val="00540F1C"/>
    <w:rsid w:val="0054146E"/>
    <w:rsid w:val="00542095"/>
    <w:rsid w:val="005425D0"/>
    <w:rsid w:val="00542D2D"/>
    <w:rsid w:val="005443E7"/>
    <w:rsid w:val="00544D0F"/>
    <w:rsid w:val="005450AC"/>
    <w:rsid w:val="005475F0"/>
    <w:rsid w:val="005500B7"/>
    <w:rsid w:val="00550E7C"/>
    <w:rsid w:val="00551120"/>
    <w:rsid w:val="00551A71"/>
    <w:rsid w:val="00551D76"/>
    <w:rsid w:val="00552A1F"/>
    <w:rsid w:val="00552C27"/>
    <w:rsid w:val="005535CD"/>
    <w:rsid w:val="00553B75"/>
    <w:rsid w:val="0055402A"/>
    <w:rsid w:val="0055486C"/>
    <w:rsid w:val="005549F7"/>
    <w:rsid w:val="00555C6F"/>
    <w:rsid w:val="00556636"/>
    <w:rsid w:val="00556EA5"/>
    <w:rsid w:val="00557383"/>
    <w:rsid w:val="00557A7F"/>
    <w:rsid w:val="00557AEF"/>
    <w:rsid w:val="00560EFF"/>
    <w:rsid w:val="00560FEA"/>
    <w:rsid w:val="0056176F"/>
    <w:rsid w:val="00561A0E"/>
    <w:rsid w:val="00561C29"/>
    <w:rsid w:val="00561E15"/>
    <w:rsid w:val="00561F90"/>
    <w:rsid w:val="005639DB"/>
    <w:rsid w:val="00563DEB"/>
    <w:rsid w:val="00563F65"/>
    <w:rsid w:val="005642D6"/>
    <w:rsid w:val="0056490C"/>
    <w:rsid w:val="00567430"/>
    <w:rsid w:val="00567C18"/>
    <w:rsid w:val="00567F7D"/>
    <w:rsid w:val="005714C9"/>
    <w:rsid w:val="005717FB"/>
    <w:rsid w:val="00571969"/>
    <w:rsid w:val="0057216B"/>
    <w:rsid w:val="0057264A"/>
    <w:rsid w:val="005729E1"/>
    <w:rsid w:val="00572E9A"/>
    <w:rsid w:val="005730BB"/>
    <w:rsid w:val="00573E17"/>
    <w:rsid w:val="00574A30"/>
    <w:rsid w:val="005751E2"/>
    <w:rsid w:val="00575795"/>
    <w:rsid w:val="00575F43"/>
    <w:rsid w:val="00576003"/>
    <w:rsid w:val="00576124"/>
    <w:rsid w:val="00576DF5"/>
    <w:rsid w:val="00576E4A"/>
    <w:rsid w:val="0057729B"/>
    <w:rsid w:val="0057733D"/>
    <w:rsid w:val="005801ED"/>
    <w:rsid w:val="00581633"/>
    <w:rsid w:val="005819F5"/>
    <w:rsid w:val="0058211D"/>
    <w:rsid w:val="00582279"/>
    <w:rsid w:val="0058293A"/>
    <w:rsid w:val="00582B6D"/>
    <w:rsid w:val="00582F1F"/>
    <w:rsid w:val="00583A1D"/>
    <w:rsid w:val="00585929"/>
    <w:rsid w:val="00585AF2"/>
    <w:rsid w:val="0058617B"/>
    <w:rsid w:val="005861D1"/>
    <w:rsid w:val="005868D1"/>
    <w:rsid w:val="0058764D"/>
    <w:rsid w:val="0059041D"/>
    <w:rsid w:val="00592413"/>
    <w:rsid w:val="00592507"/>
    <w:rsid w:val="00592AC0"/>
    <w:rsid w:val="005934B8"/>
    <w:rsid w:val="00593A62"/>
    <w:rsid w:val="00593C23"/>
    <w:rsid w:val="00593CAB"/>
    <w:rsid w:val="00594991"/>
    <w:rsid w:val="005952E3"/>
    <w:rsid w:val="005955D0"/>
    <w:rsid w:val="005957AC"/>
    <w:rsid w:val="00596488"/>
    <w:rsid w:val="00597B9A"/>
    <w:rsid w:val="00597BEF"/>
    <w:rsid w:val="005A0584"/>
    <w:rsid w:val="005A1C57"/>
    <w:rsid w:val="005A1D8A"/>
    <w:rsid w:val="005A31DA"/>
    <w:rsid w:val="005A3374"/>
    <w:rsid w:val="005A3982"/>
    <w:rsid w:val="005A3A08"/>
    <w:rsid w:val="005A4538"/>
    <w:rsid w:val="005A5483"/>
    <w:rsid w:val="005A6E86"/>
    <w:rsid w:val="005A7BFC"/>
    <w:rsid w:val="005A7CCB"/>
    <w:rsid w:val="005B0FA7"/>
    <w:rsid w:val="005B1B78"/>
    <w:rsid w:val="005B24E8"/>
    <w:rsid w:val="005B2BFF"/>
    <w:rsid w:val="005B2E74"/>
    <w:rsid w:val="005B37BF"/>
    <w:rsid w:val="005B4537"/>
    <w:rsid w:val="005B4B47"/>
    <w:rsid w:val="005B55A8"/>
    <w:rsid w:val="005B6E26"/>
    <w:rsid w:val="005B798F"/>
    <w:rsid w:val="005B7AEF"/>
    <w:rsid w:val="005C00B2"/>
    <w:rsid w:val="005C00C0"/>
    <w:rsid w:val="005C2077"/>
    <w:rsid w:val="005C3F44"/>
    <w:rsid w:val="005C41B9"/>
    <w:rsid w:val="005C4705"/>
    <w:rsid w:val="005C47DB"/>
    <w:rsid w:val="005C495F"/>
    <w:rsid w:val="005C526D"/>
    <w:rsid w:val="005C52A1"/>
    <w:rsid w:val="005C66A6"/>
    <w:rsid w:val="005C68D4"/>
    <w:rsid w:val="005C7DED"/>
    <w:rsid w:val="005C7DF3"/>
    <w:rsid w:val="005D03E3"/>
    <w:rsid w:val="005D03E5"/>
    <w:rsid w:val="005D06B2"/>
    <w:rsid w:val="005D154A"/>
    <w:rsid w:val="005D22A0"/>
    <w:rsid w:val="005D2B53"/>
    <w:rsid w:val="005D42DB"/>
    <w:rsid w:val="005D6378"/>
    <w:rsid w:val="005D73F1"/>
    <w:rsid w:val="005D7592"/>
    <w:rsid w:val="005D7DAE"/>
    <w:rsid w:val="005E0088"/>
    <w:rsid w:val="005E05B9"/>
    <w:rsid w:val="005E06DD"/>
    <w:rsid w:val="005E1854"/>
    <w:rsid w:val="005E1A6A"/>
    <w:rsid w:val="005E1B1F"/>
    <w:rsid w:val="005E2113"/>
    <w:rsid w:val="005E2582"/>
    <w:rsid w:val="005E2A0A"/>
    <w:rsid w:val="005E3415"/>
    <w:rsid w:val="005E4131"/>
    <w:rsid w:val="005E5491"/>
    <w:rsid w:val="005E74BA"/>
    <w:rsid w:val="005E792A"/>
    <w:rsid w:val="005F0713"/>
    <w:rsid w:val="005F0B1D"/>
    <w:rsid w:val="005F0D16"/>
    <w:rsid w:val="005F0D1D"/>
    <w:rsid w:val="005F0EB3"/>
    <w:rsid w:val="005F1202"/>
    <w:rsid w:val="005F1210"/>
    <w:rsid w:val="005F22B4"/>
    <w:rsid w:val="005F249F"/>
    <w:rsid w:val="005F2DFF"/>
    <w:rsid w:val="005F36C0"/>
    <w:rsid w:val="005F37DE"/>
    <w:rsid w:val="005F38D2"/>
    <w:rsid w:val="005F3B35"/>
    <w:rsid w:val="005F59C1"/>
    <w:rsid w:val="005F68A6"/>
    <w:rsid w:val="005F6AED"/>
    <w:rsid w:val="005F6FB1"/>
    <w:rsid w:val="005F7ACB"/>
    <w:rsid w:val="0060051F"/>
    <w:rsid w:val="00600DF8"/>
    <w:rsid w:val="00600F1B"/>
    <w:rsid w:val="00602D8C"/>
    <w:rsid w:val="00603947"/>
    <w:rsid w:val="00603E98"/>
    <w:rsid w:val="00603ED8"/>
    <w:rsid w:val="006043BB"/>
    <w:rsid w:val="0060477E"/>
    <w:rsid w:val="00604A7F"/>
    <w:rsid w:val="00604FA2"/>
    <w:rsid w:val="006057F7"/>
    <w:rsid w:val="006062B3"/>
    <w:rsid w:val="006069C1"/>
    <w:rsid w:val="00606B11"/>
    <w:rsid w:val="00607122"/>
    <w:rsid w:val="00607229"/>
    <w:rsid w:val="00607DF9"/>
    <w:rsid w:val="00610C6A"/>
    <w:rsid w:val="00610F0B"/>
    <w:rsid w:val="00610FA5"/>
    <w:rsid w:val="00612DA7"/>
    <w:rsid w:val="0061307D"/>
    <w:rsid w:val="006136ED"/>
    <w:rsid w:val="0061385B"/>
    <w:rsid w:val="00614D65"/>
    <w:rsid w:val="00615FEA"/>
    <w:rsid w:val="00616557"/>
    <w:rsid w:val="00616BAC"/>
    <w:rsid w:val="00617A3F"/>
    <w:rsid w:val="006203F5"/>
    <w:rsid w:val="006212F3"/>
    <w:rsid w:val="0062183A"/>
    <w:rsid w:val="0062195F"/>
    <w:rsid w:val="00621A24"/>
    <w:rsid w:val="0062430C"/>
    <w:rsid w:val="006246D4"/>
    <w:rsid w:val="00625471"/>
    <w:rsid w:val="006256C9"/>
    <w:rsid w:val="00625C92"/>
    <w:rsid w:val="0062643C"/>
    <w:rsid w:val="0062761E"/>
    <w:rsid w:val="00627687"/>
    <w:rsid w:val="006277BB"/>
    <w:rsid w:val="00627F68"/>
    <w:rsid w:val="006305A9"/>
    <w:rsid w:val="0063085C"/>
    <w:rsid w:val="00630BC9"/>
    <w:rsid w:val="006322D1"/>
    <w:rsid w:val="006328C6"/>
    <w:rsid w:val="00632B2B"/>
    <w:rsid w:val="00633150"/>
    <w:rsid w:val="00633830"/>
    <w:rsid w:val="00633E12"/>
    <w:rsid w:val="0063483C"/>
    <w:rsid w:val="006348E4"/>
    <w:rsid w:val="006357D6"/>
    <w:rsid w:val="00635E56"/>
    <w:rsid w:val="00636D75"/>
    <w:rsid w:val="00637C81"/>
    <w:rsid w:val="00640FBE"/>
    <w:rsid w:val="00640FD9"/>
    <w:rsid w:val="0064173A"/>
    <w:rsid w:val="006427F1"/>
    <w:rsid w:val="00642B30"/>
    <w:rsid w:val="006434B2"/>
    <w:rsid w:val="00643866"/>
    <w:rsid w:val="00644089"/>
    <w:rsid w:val="00644ED7"/>
    <w:rsid w:val="00645331"/>
    <w:rsid w:val="006467A7"/>
    <w:rsid w:val="00646AE9"/>
    <w:rsid w:val="00646B74"/>
    <w:rsid w:val="00646DE5"/>
    <w:rsid w:val="00647161"/>
    <w:rsid w:val="006475C2"/>
    <w:rsid w:val="00650F40"/>
    <w:rsid w:val="00651262"/>
    <w:rsid w:val="00651814"/>
    <w:rsid w:val="0065208B"/>
    <w:rsid w:val="00653D5F"/>
    <w:rsid w:val="00653E81"/>
    <w:rsid w:val="00654340"/>
    <w:rsid w:val="00654659"/>
    <w:rsid w:val="00654BA3"/>
    <w:rsid w:val="006556BE"/>
    <w:rsid w:val="006557AD"/>
    <w:rsid w:val="00655844"/>
    <w:rsid w:val="00655AAA"/>
    <w:rsid w:val="00655C6F"/>
    <w:rsid w:val="00655F06"/>
    <w:rsid w:val="006566EE"/>
    <w:rsid w:val="00657B9F"/>
    <w:rsid w:val="00660B3B"/>
    <w:rsid w:val="0066150A"/>
    <w:rsid w:val="006615C6"/>
    <w:rsid w:val="0066521B"/>
    <w:rsid w:val="00665DD3"/>
    <w:rsid w:val="006678C3"/>
    <w:rsid w:val="00667CE5"/>
    <w:rsid w:val="006700DF"/>
    <w:rsid w:val="00670585"/>
    <w:rsid w:val="006708F5"/>
    <w:rsid w:val="00671656"/>
    <w:rsid w:val="0067174D"/>
    <w:rsid w:val="00671EDA"/>
    <w:rsid w:val="0067249D"/>
    <w:rsid w:val="0067360C"/>
    <w:rsid w:val="00673EDA"/>
    <w:rsid w:val="00674133"/>
    <w:rsid w:val="00674437"/>
    <w:rsid w:val="00674829"/>
    <w:rsid w:val="00674E43"/>
    <w:rsid w:val="00675919"/>
    <w:rsid w:val="00675FF3"/>
    <w:rsid w:val="0067670E"/>
    <w:rsid w:val="0067729C"/>
    <w:rsid w:val="006774FC"/>
    <w:rsid w:val="00677B75"/>
    <w:rsid w:val="00680928"/>
    <w:rsid w:val="00680DE2"/>
    <w:rsid w:val="00681B1F"/>
    <w:rsid w:val="006830F9"/>
    <w:rsid w:val="006831A8"/>
    <w:rsid w:val="00684FB9"/>
    <w:rsid w:val="00685588"/>
    <w:rsid w:val="00685A62"/>
    <w:rsid w:val="00685B0A"/>
    <w:rsid w:val="00685B79"/>
    <w:rsid w:val="00685FA8"/>
    <w:rsid w:val="00686FDB"/>
    <w:rsid w:val="006871F0"/>
    <w:rsid w:val="00687A0C"/>
    <w:rsid w:val="00691533"/>
    <w:rsid w:val="00692A7C"/>
    <w:rsid w:val="00692B7B"/>
    <w:rsid w:val="00694F23"/>
    <w:rsid w:val="00694FE0"/>
    <w:rsid w:val="006954A6"/>
    <w:rsid w:val="00695E88"/>
    <w:rsid w:val="0069618E"/>
    <w:rsid w:val="006968A5"/>
    <w:rsid w:val="00696995"/>
    <w:rsid w:val="00696A3B"/>
    <w:rsid w:val="00696DF0"/>
    <w:rsid w:val="00697027"/>
    <w:rsid w:val="006971AD"/>
    <w:rsid w:val="00697387"/>
    <w:rsid w:val="00697474"/>
    <w:rsid w:val="006974F1"/>
    <w:rsid w:val="006A0979"/>
    <w:rsid w:val="006A13F3"/>
    <w:rsid w:val="006A2EE5"/>
    <w:rsid w:val="006A30A9"/>
    <w:rsid w:val="006A392C"/>
    <w:rsid w:val="006A4655"/>
    <w:rsid w:val="006A4CF7"/>
    <w:rsid w:val="006A5E40"/>
    <w:rsid w:val="006A6E41"/>
    <w:rsid w:val="006A7557"/>
    <w:rsid w:val="006B0645"/>
    <w:rsid w:val="006B0A0D"/>
    <w:rsid w:val="006B141C"/>
    <w:rsid w:val="006B147E"/>
    <w:rsid w:val="006B1910"/>
    <w:rsid w:val="006B1B84"/>
    <w:rsid w:val="006B2E59"/>
    <w:rsid w:val="006B3907"/>
    <w:rsid w:val="006B3CE5"/>
    <w:rsid w:val="006B4599"/>
    <w:rsid w:val="006B460D"/>
    <w:rsid w:val="006B4930"/>
    <w:rsid w:val="006B4F0C"/>
    <w:rsid w:val="006B57FA"/>
    <w:rsid w:val="006B6392"/>
    <w:rsid w:val="006B66CC"/>
    <w:rsid w:val="006B6B26"/>
    <w:rsid w:val="006B6D6E"/>
    <w:rsid w:val="006B7B4C"/>
    <w:rsid w:val="006C0DEF"/>
    <w:rsid w:val="006C15A1"/>
    <w:rsid w:val="006C1A58"/>
    <w:rsid w:val="006C1BAE"/>
    <w:rsid w:val="006C1D6D"/>
    <w:rsid w:val="006C2231"/>
    <w:rsid w:val="006C3503"/>
    <w:rsid w:val="006C44A5"/>
    <w:rsid w:val="006C6D2D"/>
    <w:rsid w:val="006C7265"/>
    <w:rsid w:val="006C7609"/>
    <w:rsid w:val="006C788B"/>
    <w:rsid w:val="006D039F"/>
    <w:rsid w:val="006D0679"/>
    <w:rsid w:val="006D1318"/>
    <w:rsid w:val="006D2873"/>
    <w:rsid w:val="006D2C17"/>
    <w:rsid w:val="006D2F1B"/>
    <w:rsid w:val="006D31FB"/>
    <w:rsid w:val="006D3712"/>
    <w:rsid w:val="006D375B"/>
    <w:rsid w:val="006D3FAD"/>
    <w:rsid w:val="006D4C95"/>
    <w:rsid w:val="006D4DAC"/>
    <w:rsid w:val="006D4E37"/>
    <w:rsid w:val="006D5A88"/>
    <w:rsid w:val="006D629A"/>
    <w:rsid w:val="006D6DAB"/>
    <w:rsid w:val="006D7257"/>
    <w:rsid w:val="006D74FA"/>
    <w:rsid w:val="006E0849"/>
    <w:rsid w:val="006E1AE5"/>
    <w:rsid w:val="006E2C9F"/>
    <w:rsid w:val="006E322C"/>
    <w:rsid w:val="006E3954"/>
    <w:rsid w:val="006E3B66"/>
    <w:rsid w:val="006E4109"/>
    <w:rsid w:val="006E48A1"/>
    <w:rsid w:val="006E4B64"/>
    <w:rsid w:val="006E51B7"/>
    <w:rsid w:val="006E599C"/>
    <w:rsid w:val="006E5F6F"/>
    <w:rsid w:val="006E60DF"/>
    <w:rsid w:val="006E668E"/>
    <w:rsid w:val="006E6B1A"/>
    <w:rsid w:val="006E6D39"/>
    <w:rsid w:val="006E6F14"/>
    <w:rsid w:val="006E7EB6"/>
    <w:rsid w:val="006F0472"/>
    <w:rsid w:val="006F1008"/>
    <w:rsid w:val="006F369F"/>
    <w:rsid w:val="006F3CD2"/>
    <w:rsid w:val="006F3F6C"/>
    <w:rsid w:val="006F4FE4"/>
    <w:rsid w:val="006F60FF"/>
    <w:rsid w:val="006F627C"/>
    <w:rsid w:val="006F63F4"/>
    <w:rsid w:val="007004E3"/>
    <w:rsid w:val="00700589"/>
    <w:rsid w:val="0070074B"/>
    <w:rsid w:val="00701BC8"/>
    <w:rsid w:val="0070251A"/>
    <w:rsid w:val="00703400"/>
    <w:rsid w:val="00704A92"/>
    <w:rsid w:val="007053EC"/>
    <w:rsid w:val="007055DA"/>
    <w:rsid w:val="0070576C"/>
    <w:rsid w:val="00705A19"/>
    <w:rsid w:val="00705A40"/>
    <w:rsid w:val="007063CE"/>
    <w:rsid w:val="00706445"/>
    <w:rsid w:val="007070DA"/>
    <w:rsid w:val="00707175"/>
    <w:rsid w:val="007075FB"/>
    <w:rsid w:val="00707F6D"/>
    <w:rsid w:val="00710513"/>
    <w:rsid w:val="007114C5"/>
    <w:rsid w:val="00712F49"/>
    <w:rsid w:val="0071383A"/>
    <w:rsid w:val="00715CA4"/>
    <w:rsid w:val="0071611D"/>
    <w:rsid w:val="00716A4D"/>
    <w:rsid w:val="00716AE6"/>
    <w:rsid w:val="00716E8B"/>
    <w:rsid w:val="00716E93"/>
    <w:rsid w:val="007201A4"/>
    <w:rsid w:val="007203A9"/>
    <w:rsid w:val="00720966"/>
    <w:rsid w:val="00720B8F"/>
    <w:rsid w:val="00721879"/>
    <w:rsid w:val="0072196A"/>
    <w:rsid w:val="00721A0C"/>
    <w:rsid w:val="00722722"/>
    <w:rsid w:val="007236E0"/>
    <w:rsid w:val="0072378B"/>
    <w:rsid w:val="00725051"/>
    <w:rsid w:val="0072510A"/>
    <w:rsid w:val="00725999"/>
    <w:rsid w:val="00725C8A"/>
    <w:rsid w:val="0072643D"/>
    <w:rsid w:val="007274CD"/>
    <w:rsid w:val="00727520"/>
    <w:rsid w:val="007278A5"/>
    <w:rsid w:val="007301B1"/>
    <w:rsid w:val="0073045A"/>
    <w:rsid w:val="00733754"/>
    <w:rsid w:val="007346DF"/>
    <w:rsid w:val="007349B5"/>
    <w:rsid w:val="00734C41"/>
    <w:rsid w:val="00734E85"/>
    <w:rsid w:val="0073557E"/>
    <w:rsid w:val="0073567F"/>
    <w:rsid w:val="00735C4E"/>
    <w:rsid w:val="007360A1"/>
    <w:rsid w:val="007366AD"/>
    <w:rsid w:val="00737D88"/>
    <w:rsid w:val="00740260"/>
    <w:rsid w:val="0074028A"/>
    <w:rsid w:val="007403F5"/>
    <w:rsid w:val="007405C7"/>
    <w:rsid w:val="00740C30"/>
    <w:rsid w:val="007410D0"/>
    <w:rsid w:val="00741913"/>
    <w:rsid w:val="00741CBC"/>
    <w:rsid w:val="007427E5"/>
    <w:rsid w:val="00742B4E"/>
    <w:rsid w:val="00742FE9"/>
    <w:rsid w:val="0074322F"/>
    <w:rsid w:val="00743D1F"/>
    <w:rsid w:val="00744002"/>
    <w:rsid w:val="00744D92"/>
    <w:rsid w:val="0074533B"/>
    <w:rsid w:val="00745C74"/>
    <w:rsid w:val="00745DAF"/>
    <w:rsid w:val="007460CB"/>
    <w:rsid w:val="00746AF5"/>
    <w:rsid w:val="007476D6"/>
    <w:rsid w:val="00750927"/>
    <w:rsid w:val="00750F97"/>
    <w:rsid w:val="00752188"/>
    <w:rsid w:val="00754115"/>
    <w:rsid w:val="00754170"/>
    <w:rsid w:val="007543FC"/>
    <w:rsid w:val="0075497B"/>
    <w:rsid w:val="007550A4"/>
    <w:rsid w:val="00755118"/>
    <w:rsid w:val="00755DF8"/>
    <w:rsid w:val="0075631F"/>
    <w:rsid w:val="00756DDF"/>
    <w:rsid w:val="00760F6D"/>
    <w:rsid w:val="007612B0"/>
    <w:rsid w:val="00761EC0"/>
    <w:rsid w:val="00762306"/>
    <w:rsid w:val="00762E91"/>
    <w:rsid w:val="007630B2"/>
    <w:rsid w:val="007634DC"/>
    <w:rsid w:val="007653E0"/>
    <w:rsid w:val="0076582A"/>
    <w:rsid w:val="0076600E"/>
    <w:rsid w:val="00766227"/>
    <w:rsid w:val="00766D15"/>
    <w:rsid w:val="00766E66"/>
    <w:rsid w:val="00770070"/>
    <w:rsid w:val="00770167"/>
    <w:rsid w:val="00770544"/>
    <w:rsid w:val="007705EB"/>
    <w:rsid w:val="00771BD6"/>
    <w:rsid w:val="00771ECD"/>
    <w:rsid w:val="00772800"/>
    <w:rsid w:val="00772D6A"/>
    <w:rsid w:val="00773B9F"/>
    <w:rsid w:val="00774163"/>
    <w:rsid w:val="007748A0"/>
    <w:rsid w:val="00774AE4"/>
    <w:rsid w:val="00774F4F"/>
    <w:rsid w:val="007754B3"/>
    <w:rsid w:val="007758E5"/>
    <w:rsid w:val="007764AB"/>
    <w:rsid w:val="00777893"/>
    <w:rsid w:val="007808B4"/>
    <w:rsid w:val="00780CBF"/>
    <w:rsid w:val="007822EA"/>
    <w:rsid w:val="00782431"/>
    <w:rsid w:val="0078373D"/>
    <w:rsid w:val="00783F07"/>
    <w:rsid w:val="007845A8"/>
    <w:rsid w:val="0078563E"/>
    <w:rsid w:val="00786411"/>
    <w:rsid w:val="00786885"/>
    <w:rsid w:val="007868A4"/>
    <w:rsid w:val="00786994"/>
    <w:rsid w:val="00786ECA"/>
    <w:rsid w:val="00786F34"/>
    <w:rsid w:val="00787781"/>
    <w:rsid w:val="007908F4"/>
    <w:rsid w:val="00791479"/>
    <w:rsid w:val="0079256D"/>
    <w:rsid w:val="00792FC2"/>
    <w:rsid w:val="007940C9"/>
    <w:rsid w:val="0079418C"/>
    <w:rsid w:val="00794464"/>
    <w:rsid w:val="007947B5"/>
    <w:rsid w:val="00794BCA"/>
    <w:rsid w:val="00794C54"/>
    <w:rsid w:val="00795477"/>
    <w:rsid w:val="007A034F"/>
    <w:rsid w:val="007A1BC0"/>
    <w:rsid w:val="007A31F3"/>
    <w:rsid w:val="007A336F"/>
    <w:rsid w:val="007A3D12"/>
    <w:rsid w:val="007A460E"/>
    <w:rsid w:val="007A4786"/>
    <w:rsid w:val="007A5B22"/>
    <w:rsid w:val="007A5DDE"/>
    <w:rsid w:val="007A5E23"/>
    <w:rsid w:val="007A6419"/>
    <w:rsid w:val="007A6602"/>
    <w:rsid w:val="007A697F"/>
    <w:rsid w:val="007A70F6"/>
    <w:rsid w:val="007A76C3"/>
    <w:rsid w:val="007A7852"/>
    <w:rsid w:val="007B05D2"/>
    <w:rsid w:val="007B06C4"/>
    <w:rsid w:val="007B08DC"/>
    <w:rsid w:val="007B1153"/>
    <w:rsid w:val="007B1627"/>
    <w:rsid w:val="007B1EAB"/>
    <w:rsid w:val="007B1EE6"/>
    <w:rsid w:val="007B21B9"/>
    <w:rsid w:val="007B2793"/>
    <w:rsid w:val="007B34C1"/>
    <w:rsid w:val="007B435E"/>
    <w:rsid w:val="007B4E62"/>
    <w:rsid w:val="007B63DE"/>
    <w:rsid w:val="007B6872"/>
    <w:rsid w:val="007B72E9"/>
    <w:rsid w:val="007B7311"/>
    <w:rsid w:val="007B74FC"/>
    <w:rsid w:val="007B7532"/>
    <w:rsid w:val="007C0D71"/>
    <w:rsid w:val="007C1692"/>
    <w:rsid w:val="007C1B49"/>
    <w:rsid w:val="007C23A0"/>
    <w:rsid w:val="007C3220"/>
    <w:rsid w:val="007C3C99"/>
    <w:rsid w:val="007C4D5F"/>
    <w:rsid w:val="007C5F36"/>
    <w:rsid w:val="007C68B1"/>
    <w:rsid w:val="007C7AA5"/>
    <w:rsid w:val="007D12B2"/>
    <w:rsid w:val="007D1905"/>
    <w:rsid w:val="007D245B"/>
    <w:rsid w:val="007D3134"/>
    <w:rsid w:val="007D3524"/>
    <w:rsid w:val="007D4B4B"/>
    <w:rsid w:val="007D5322"/>
    <w:rsid w:val="007D5C1B"/>
    <w:rsid w:val="007D5ED0"/>
    <w:rsid w:val="007D5F80"/>
    <w:rsid w:val="007D673D"/>
    <w:rsid w:val="007D6CE6"/>
    <w:rsid w:val="007D726F"/>
    <w:rsid w:val="007D730F"/>
    <w:rsid w:val="007D7817"/>
    <w:rsid w:val="007E0680"/>
    <w:rsid w:val="007E0F75"/>
    <w:rsid w:val="007E12C5"/>
    <w:rsid w:val="007E1463"/>
    <w:rsid w:val="007E2514"/>
    <w:rsid w:val="007E33D2"/>
    <w:rsid w:val="007E360E"/>
    <w:rsid w:val="007E5895"/>
    <w:rsid w:val="007E6120"/>
    <w:rsid w:val="007E66EC"/>
    <w:rsid w:val="007E6E28"/>
    <w:rsid w:val="007E7299"/>
    <w:rsid w:val="007E73AF"/>
    <w:rsid w:val="007E7531"/>
    <w:rsid w:val="007E7BC6"/>
    <w:rsid w:val="007F24CB"/>
    <w:rsid w:val="007F35AD"/>
    <w:rsid w:val="007F3679"/>
    <w:rsid w:val="007F3C2B"/>
    <w:rsid w:val="007F4408"/>
    <w:rsid w:val="007F4422"/>
    <w:rsid w:val="007F4979"/>
    <w:rsid w:val="007F575C"/>
    <w:rsid w:val="007F5778"/>
    <w:rsid w:val="007F5D02"/>
    <w:rsid w:val="007F5D52"/>
    <w:rsid w:val="007F635A"/>
    <w:rsid w:val="007F658F"/>
    <w:rsid w:val="007F6D09"/>
    <w:rsid w:val="007F6E95"/>
    <w:rsid w:val="007F7E89"/>
    <w:rsid w:val="0080003E"/>
    <w:rsid w:val="00800040"/>
    <w:rsid w:val="00800B5F"/>
    <w:rsid w:val="008018DA"/>
    <w:rsid w:val="008019BB"/>
    <w:rsid w:val="00801B42"/>
    <w:rsid w:val="00801DC0"/>
    <w:rsid w:val="0080286E"/>
    <w:rsid w:val="00802F4B"/>
    <w:rsid w:val="0080306E"/>
    <w:rsid w:val="00803089"/>
    <w:rsid w:val="00803C25"/>
    <w:rsid w:val="00804B18"/>
    <w:rsid w:val="00804B68"/>
    <w:rsid w:val="0080532E"/>
    <w:rsid w:val="008055AB"/>
    <w:rsid w:val="00805833"/>
    <w:rsid w:val="008058BD"/>
    <w:rsid w:val="00805CC4"/>
    <w:rsid w:val="00806059"/>
    <w:rsid w:val="00806AC6"/>
    <w:rsid w:val="00806B67"/>
    <w:rsid w:val="00806D8B"/>
    <w:rsid w:val="0080749B"/>
    <w:rsid w:val="008103E9"/>
    <w:rsid w:val="00810E5E"/>
    <w:rsid w:val="008121BC"/>
    <w:rsid w:val="00812441"/>
    <w:rsid w:val="008126AF"/>
    <w:rsid w:val="00812B96"/>
    <w:rsid w:val="00812BDB"/>
    <w:rsid w:val="00813B78"/>
    <w:rsid w:val="00813F6A"/>
    <w:rsid w:val="008148B9"/>
    <w:rsid w:val="00814963"/>
    <w:rsid w:val="00816224"/>
    <w:rsid w:val="00816890"/>
    <w:rsid w:val="00817C96"/>
    <w:rsid w:val="00817DE5"/>
    <w:rsid w:val="00817FCE"/>
    <w:rsid w:val="00820754"/>
    <w:rsid w:val="008210FC"/>
    <w:rsid w:val="0082171C"/>
    <w:rsid w:val="008247AE"/>
    <w:rsid w:val="0082539A"/>
    <w:rsid w:val="00825614"/>
    <w:rsid w:val="00825A70"/>
    <w:rsid w:val="00826420"/>
    <w:rsid w:val="008275DC"/>
    <w:rsid w:val="00827812"/>
    <w:rsid w:val="0082795D"/>
    <w:rsid w:val="00827FB2"/>
    <w:rsid w:val="00831AC6"/>
    <w:rsid w:val="00831E99"/>
    <w:rsid w:val="00832559"/>
    <w:rsid w:val="00832646"/>
    <w:rsid w:val="00833116"/>
    <w:rsid w:val="008332E3"/>
    <w:rsid w:val="00833436"/>
    <w:rsid w:val="00833935"/>
    <w:rsid w:val="0083465D"/>
    <w:rsid w:val="00834915"/>
    <w:rsid w:val="0083513F"/>
    <w:rsid w:val="00835D61"/>
    <w:rsid w:val="008366A4"/>
    <w:rsid w:val="008368E4"/>
    <w:rsid w:val="008374EF"/>
    <w:rsid w:val="00840451"/>
    <w:rsid w:val="00842A80"/>
    <w:rsid w:val="00842ED1"/>
    <w:rsid w:val="00843910"/>
    <w:rsid w:val="00843995"/>
    <w:rsid w:val="0084430B"/>
    <w:rsid w:val="00845CC6"/>
    <w:rsid w:val="00845E7A"/>
    <w:rsid w:val="0085039B"/>
    <w:rsid w:val="00851568"/>
    <w:rsid w:val="008524AB"/>
    <w:rsid w:val="00852644"/>
    <w:rsid w:val="00852D58"/>
    <w:rsid w:val="00853206"/>
    <w:rsid w:val="0085333D"/>
    <w:rsid w:val="00854135"/>
    <w:rsid w:val="00854205"/>
    <w:rsid w:val="008546A5"/>
    <w:rsid w:val="0085524F"/>
    <w:rsid w:val="0085655B"/>
    <w:rsid w:val="00856637"/>
    <w:rsid w:val="00856F6F"/>
    <w:rsid w:val="0085781C"/>
    <w:rsid w:val="00860771"/>
    <w:rsid w:val="00860F21"/>
    <w:rsid w:val="0086129A"/>
    <w:rsid w:val="008618EA"/>
    <w:rsid w:val="00862635"/>
    <w:rsid w:val="00862B99"/>
    <w:rsid w:val="008632BA"/>
    <w:rsid w:val="0086341E"/>
    <w:rsid w:val="008639B4"/>
    <w:rsid w:val="00863E24"/>
    <w:rsid w:val="00863F8A"/>
    <w:rsid w:val="0086406B"/>
    <w:rsid w:val="008646B1"/>
    <w:rsid w:val="00864ECF"/>
    <w:rsid w:val="00865D16"/>
    <w:rsid w:val="00865D24"/>
    <w:rsid w:val="008663F9"/>
    <w:rsid w:val="0086705F"/>
    <w:rsid w:val="008674BA"/>
    <w:rsid w:val="00867895"/>
    <w:rsid w:val="00867B1B"/>
    <w:rsid w:val="0087041E"/>
    <w:rsid w:val="008706A2"/>
    <w:rsid w:val="00871A96"/>
    <w:rsid w:val="008725D2"/>
    <w:rsid w:val="0087266A"/>
    <w:rsid w:val="008734F9"/>
    <w:rsid w:val="00873D65"/>
    <w:rsid w:val="0087421E"/>
    <w:rsid w:val="00874464"/>
    <w:rsid w:val="00874A39"/>
    <w:rsid w:val="00874BE5"/>
    <w:rsid w:val="00875537"/>
    <w:rsid w:val="008764D8"/>
    <w:rsid w:val="00876D56"/>
    <w:rsid w:val="00876EFD"/>
    <w:rsid w:val="00877954"/>
    <w:rsid w:val="00877DF6"/>
    <w:rsid w:val="00880A36"/>
    <w:rsid w:val="00881F54"/>
    <w:rsid w:val="008820EB"/>
    <w:rsid w:val="008824AC"/>
    <w:rsid w:val="008825E2"/>
    <w:rsid w:val="00882C02"/>
    <w:rsid w:val="00884B43"/>
    <w:rsid w:val="00885456"/>
    <w:rsid w:val="00885941"/>
    <w:rsid w:val="00886C8F"/>
    <w:rsid w:val="0088712F"/>
    <w:rsid w:val="00887179"/>
    <w:rsid w:val="008877BB"/>
    <w:rsid w:val="00887880"/>
    <w:rsid w:val="00890AF8"/>
    <w:rsid w:val="008918F1"/>
    <w:rsid w:val="00892187"/>
    <w:rsid w:val="00892790"/>
    <w:rsid w:val="00892895"/>
    <w:rsid w:val="00893081"/>
    <w:rsid w:val="00894576"/>
    <w:rsid w:val="00894AD8"/>
    <w:rsid w:val="008958AC"/>
    <w:rsid w:val="00895AA9"/>
    <w:rsid w:val="00895D2F"/>
    <w:rsid w:val="00896DB0"/>
    <w:rsid w:val="008A01BB"/>
    <w:rsid w:val="008A038F"/>
    <w:rsid w:val="008A1119"/>
    <w:rsid w:val="008A1127"/>
    <w:rsid w:val="008A1913"/>
    <w:rsid w:val="008A1E2F"/>
    <w:rsid w:val="008A2371"/>
    <w:rsid w:val="008A495E"/>
    <w:rsid w:val="008A4B78"/>
    <w:rsid w:val="008A518B"/>
    <w:rsid w:val="008A533C"/>
    <w:rsid w:val="008A6591"/>
    <w:rsid w:val="008A78DB"/>
    <w:rsid w:val="008B1C61"/>
    <w:rsid w:val="008B1EA6"/>
    <w:rsid w:val="008B1F0D"/>
    <w:rsid w:val="008B20CC"/>
    <w:rsid w:val="008B258D"/>
    <w:rsid w:val="008B3485"/>
    <w:rsid w:val="008B3698"/>
    <w:rsid w:val="008B36BE"/>
    <w:rsid w:val="008B3809"/>
    <w:rsid w:val="008B3F41"/>
    <w:rsid w:val="008B3F81"/>
    <w:rsid w:val="008B452B"/>
    <w:rsid w:val="008B4DAC"/>
    <w:rsid w:val="008B4F02"/>
    <w:rsid w:val="008B4F41"/>
    <w:rsid w:val="008B4FEF"/>
    <w:rsid w:val="008B5563"/>
    <w:rsid w:val="008B5888"/>
    <w:rsid w:val="008B6A3C"/>
    <w:rsid w:val="008B6CF5"/>
    <w:rsid w:val="008B72A2"/>
    <w:rsid w:val="008B79AE"/>
    <w:rsid w:val="008B7D23"/>
    <w:rsid w:val="008C0280"/>
    <w:rsid w:val="008C0617"/>
    <w:rsid w:val="008C08F9"/>
    <w:rsid w:val="008C0A01"/>
    <w:rsid w:val="008C0BD6"/>
    <w:rsid w:val="008C14D1"/>
    <w:rsid w:val="008C1C51"/>
    <w:rsid w:val="008C242A"/>
    <w:rsid w:val="008C3AC1"/>
    <w:rsid w:val="008C3B9F"/>
    <w:rsid w:val="008C462F"/>
    <w:rsid w:val="008C490E"/>
    <w:rsid w:val="008C52EB"/>
    <w:rsid w:val="008C5895"/>
    <w:rsid w:val="008C5D7C"/>
    <w:rsid w:val="008C5D9B"/>
    <w:rsid w:val="008C6512"/>
    <w:rsid w:val="008C71A5"/>
    <w:rsid w:val="008C790E"/>
    <w:rsid w:val="008D00FB"/>
    <w:rsid w:val="008D053F"/>
    <w:rsid w:val="008D06C8"/>
    <w:rsid w:val="008D0FD7"/>
    <w:rsid w:val="008D1200"/>
    <w:rsid w:val="008D1F34"/>
    <w:rsid w:val="008D2245"/>
    <w:rsid w:val="008D2C1D"/>
    <w:rsid w:val="008D3C5D"/>
    <w:rsid w:val="008D4130"/>
    <w:rsid w:val="008D4CF5"/>
    <w:rsid w:val="008D5441"/>
    <w:rsid w:val="008D56AA"/>
    <w:rsid w:val="008D6AD8"/>
    <w:rsid w:val="008D77D6"/>
    <w:rsid w:val="008D7A00"/>
    <w:rsid w:val="008E04C4"/>
    <w:rsid w:val="008E0DED"/>
    <w:rsid w:val="008E165B"/>
    <w:rsid w:val="008E1EC6"/>
    <w:rsid w:val="008E21C9"/>
    <w:rsid w:val="008E2714"/>
    <w:rsid w:val="008E2D67"/>
    <w:rsid w:val="008E2FAB"/>
    <w:rsid w:val="008E3E4D"/>
    <w:rsid w:val="008E4040"/>
    <w:rsid w:val="008E4256"/>
    <w:rsid w:val="008E5383"/>
    <w:rsid w:val="008E5571"/>
    <w:rsid w:val="008E5615"/>
    <w:rsid w:val="008E5B97"/>
    <w:rsid w:val="008E6082"/>
    <w:rsid w:val="008E756A"/>
    <w:rsid w:val="008E7868"/>
    <w:rsid w:val="008E7BD9"/>
    <w:rsid w:val="008F0BE9"/>
    <w:rsid w:val="008F172B"/>
    <w:rsid w:val="008F1D7F"/>
    <w:rsid w:val="008F253F"/>
    <w:rsid w:val="008F2911"/>
    <w:rsid w:val="008F2F6D"/>
    <w:rsid w:val="008F3095"/>
    <w:rsid w:val="008F3378"/>
    <w:rsid w:val="008F3FEB"/>
    <w:rsid w:val="008F44A7"/>
    <w:rsid w:val="008F4A51"/>
    <w:rsid w:val="008F5BF6"/>
    <w:rsid w:val="008F5F0B"/>
    <w:rsid w:val="008F633F"/>
    <w:rsid w:val="008F6E0F"/>
    <w:rsid w:val="008F711C"/>
    <w:rsid w:val="008F730D"/>
    <w:rsid w:val="008F7F79"/>
    <w:rsid w:val="00900CC4"/>
    <w:rsid w:val="009013A4"/>
    <w:rsid w:val="0090189F"/>
    <w:rsid w:val="00902988"/>
    <w:rsid w:val="00902BF6"/>
    <w:rsid w:val="009037A9"/>
    <w:rsid w:val="00904346"/>
    <w:rsid w:val="009051F2"/>
    <w:rsid w:val="00906AEE"/>
    <w:rsid w:val="00906BE9"/>
    <w:rsid w:val="00906D72"/>
    <w:rsid w:val="00907920"/>
    <w:rsid w:val="00907BE6"/>
    <w:rsid w:val="00911FAD"/>
    <w:rsid w:val="00912158"/>
    <w:rsid w:val="00912601"/>
    <w:rsid w:val="00913B8B"/>
    <w:rsid w:val="00913FC9"/>
    <w:rsid w:val="00914C33"/>
    <w:rsid w:val="00914CBF"/>
    <w:rsid w:val="0091547C"/>
    <w:rsid w:val="00915EF3"/>
    <w:rsid w:val="009164E2"/>
    <w:rsid w:val="00916A3A"/>
    <w:rsid w:val="00916E20"/>
    <w:rsid w:val="00916E62"/>
    <w:rsid w:val="00917A9A"/>
    <w:rsid w:val="00920BD7"/>
    <w:rsid w:val="00920C94"/>
    <w:rsid w:val="00920D7F"/>
    <w:rsid w:val="00920FA5"/>
    <w:rsid w:val="00921CA6"/>
    <w:rsid w:val="00923874"/>
    <w:rsid w:val="00923A7B"/>
    <w:rsid w:val="009246D2"/>
    <w:rsid w:val="00924AAF"/>
    <w:rsid w:val="009252B8"/>
    <w:rsid w:val="009253F8"/>
    <w:rsid w:val="00926727"/>
    <w:rsid w:val="00926837"/>
    <w:rsid w:val="00927BC1"/>
    <w:rsid w:val="00927EDC"/>
    <w:rsid w:val="00927F24"/>
    <w:rsid w:val="009304B5"/>
    <w:rsid w:val="00930B43"/>
    <w:rsid w:val="00931319"/>
    <w:rsid w:val="009317F3"/>
    <w:rsid w:val="009328F9"/>
    <w:rsid w:val="00933561"/>
    <w:rsid w:val="0093383F"/>
    <w:rsid w:val="00933BAA"/>
    <w:rsid w:val="00933D15"/>
    <w:rsid w:val="00934601"/>
    <w:rsid w:val="009357B5"/>
    <w:rsid w:val="00936D24"/>
    <w:rsid w:val="00936F63"/>
    <w:rsid w:val="00937F36"/>
    <w:rsid w:val="00940B91"/>
    <w:rsid w:val="00941626"/>
    <w:rsid w:val="00942146"/>
    <w:rsid w:val="00942AD4"/>
    <w:rsid w:val="00943E4F"/>
    <w:rsid w:val="0094461E"/>
    <w:rsid w:val="00944681"/>
    <w:rsid w:val="00945325"/>
    <w:rsid w:val="00945B4E"/>
    <w:rsid w:val="00946E63"/>
    <w:rsid w:val="0094722B"/>
    <w:rsid w:val="0094732B"/>
    <w:rsid w:val="0095009A"/>
    <w:rsid w:val="00950FBD"/>
    <w:rsid w:val="009527F0"/>
    <w:rsid w:val="0095315F"/>
    <w:rsid w:val="0095339B"/>
    <w:rsid w:val="00953498"/>
    <w:rsid w:val="0095473E"/>
    <w:rsid w:val="00954A7D"/>
    <w:rsid w:val="00954F27"/>
    <w:rsid w:val="0095506F"/>
    <w:rsid w:val="00955922"/>
    <w:rsid w:val="009559DF"/>
    <w:rsid w:val="009565F9"/>
    <w:rsid w:val="0095786C"/>
    <w:rsid w:val="00957B8C"/>
    <w:rsid w:val="009606D4"/>
    <w:rsid w:val="00962694"/>
    <w:rsid w:val="00963ADF"/>
    <w:rsid w:val="00963B25"/>
    <w:rsid w:val="00963B82"/>
    <w:rsid w:val="00967029"/>
    <w:rsid w:val="0096706A"/>
    <w:rsid w:val="009675C9"/>
    <w:rsid w:val="009714AC"/>
    <w:rsid w:val="00971551"/>
    <w:rsid w:val="00971D35"/>
    <w:rsid w:val="0097213F"/>
    <w:rsid w:val="009721B6"/>
    <w:rsid w:val="0097269A"/>
    <w:rsid w:val="00972A1D"/>
    <w:rsid w:val="00973D59"/>
    <w:rsid w:val="0097465A"/>
    <w:rsid w:val="00975A9D"/>
    <w:rsid w:val="00976AE5"/>
    <w:rsid w:val="0097705C"/>
    <w:rsid w:val="00977227"/>
    <w:rsid w:val="00977CB6"/>
    <w:rsid w:val="0098038C"/>
    <w:rsid w:val="00980BA3"/>
    <w:rsid w:val="009826F6"/>
    <w:rsid w:val="00982FB5"/>
    <w:rsid w:val="009834A7"/>
    <w:rsid w:val="00983897"/>
    <w:rsid w:val="00984242"/>
    <w:rsid w:val="00984EAB"/>
    <w:rsid w:val="00984EC4"/>
    <w:rsid w:val="00985210"/>
    <w:rsid w:val="009871FC"/>
    <w:rsid w:val="009879FB"/>
    <w:rsid w:val="00987D52"/>
    <w:rsid w:val="00987F7A"/>
    <w:rsid w:val="0099050C"/>
    <w:rsid w:val="009906F2"/>
    <w:rsid w:val="009914F0"/>
    <w:rsid w:val="00992205"/>
    <w:rsid w:val="00992C87"/>
    <w:rsid w:val="00992EE2"/>
    <w:rsid w:val="00992F17"/>
    <w:rsid w:val="00993936"/>
    <w:rsid w:val="009953D8"/>
    <w:rsid w:val="0099650D"/>
    <w:rsid w:val="00997132"/>
    <w:rsid w:val="00997CA0"/>
    <w:rsid w:val="00997D4F"/>
    <w:rsid w:val="009A0BD2"/>
    <w:rsid w:val="009A17A6"/>
    <w:rsid w:val="009A1E6B"/>
    <w:rsid w:val="009A30A0"/>
    <w:rsid w:val="009A3DAE"/>
    <w:rsid w:val="009A3E12"/>
    <w:rsid w:val="009A47B6"/>
    <w:rsid w:val="009A49D5"/>
    <w:rsid w:val="009A4E88"/>
    <w:rsid w:val="009A56C6"/>
    <w:rsid w:val="009A66E0"/>
    <w:rsid w:val="009A6ED3"/>
    <w:rsid w:val="009A70C3"/>
    <w:rsid w:val="009A763D"/>
    <w:rsid w:val="009A7911"/>
    <w:rsid w:val="009A7A9F"/>
    <w:rsid w:val="009B0157"/>
    <w:rsid w:val="009B154E"/>
    <w:rsid w:val="009B1DC6"/>
    <w:rsid w:val="009B1EE4"/>
    <w:rsid w:val="009B27FA"/>
    <w:rsid w:val="009B29FF"/>
    <w:rsid w:val="009B2DC3"/>
    <w:rsid w:val="009B3188"/>
    <w:rsid w:val="009B3299"/>
    <w:rsid w:val="009B472B"/>
    <w:rsid w:val="009B48DF"/>
    <w:rsid w:val="009B492A"/>
    <w:rsid w:val="009B5562"/>
    <w:rsid w:val="009B5563"/>
    <w:rsid w:val="009B5CB3"/>
    <w:rsid w:val="009B62B2"/>
    <w:rsid w:val="009B67ED"/>
    <w:rsid w:val="009B71EA"/>
    <w:rsid w:val="009B763B"/>
    <w:rsid w:val="009B77B4"/>
    <w:rsid w:val="009B7E9D"/>
    <w:rsid w:val="009C088C"/>
    <w:rsid w:val="009C1792"/>
    <w:rsid w:val="009C1C22"/>
    <w:rsid w:val="009C1E47"/>
    <w:rsid w:val="009C1FF5"/>
    <w:rsid w:val="009C24EF"/>
    <w:rsid w:val="009C28BF"/>
    <w:rsid w:val="009C3890"/>
    <w:rsid w:val="009C4905"/>
    <w:rsid w:val="009C4915"/>
    <w:rsid w:val="009C4BFB"/>
    <w:rsid w:val="009C55F1"/>
    <w:rsid w:val="009C5E07"/>
    <w:rsid w:val="009C6479"/>
    <w:rsid w:val="009C6707"/>
    <w:rsid w:val="009C6873"/>
    <w:rsid w:val="009C7CB6"/>
    <w:rsid w:val="009D06A5"/>
    <w:rsid w:val="009D1060"/>
    <w:rsid w:val="009D10E1"/>
    <w:rsid w:val="009D119C"/>
    <w:rsid w:val="009D18B4"/>
    <w:rsid w:val="009D287E"/>
    <w:rsid w:val="009D333A"/>
    <w:rsid w:val="009D36F8"/>
    <w:rsid w:val="009D49B6"/>
    <w:rsid w:val="009D5452"/>
    <w:rsid w:val="009D6122"/>
    <w:rsid w:val="009E0160"/>
    <w:rsid w:val="009E0D29"/>
    <w:rsid w:val="009E1483"/>
    <w:rsid w:val="009E2524"/>
    <w:rsid w:val="009E2EF0"/>
    <w:rsid w:val="009E3299"/>
    <w:rsid w:val="009E32FA"/>
    <w:rsid w:val="009E34F4"/>
    <w:rsid w:val="009E4820"/>
    <w:rsid w:val="009E4C2C"/>
    <w:rsid w:val="009E5BEA"/>
    <w:rsid w:val="009E6301"/>
    <w:rsid w:val="009E6853"/>
    <w:rsid w:val="009E69C4"/>
    <w:rsid w:val="009E7250"/>
    <w:rsid w:val="009E7784"/>
    <w:rsid w:val="009E7DF7"/>
    <w:rsid w:val="009F0B7F"/>
    <w:rsid w:val="009F0B8E"/>
    <w:rsid w:val="009F0CB7"/>
    <w:rsid w:val="009F1CF0"/>
    <w:rsid w:val="009F1DDC"/>
    <w:rsid w:val="009F21CE"/>
    <w:rsid w:val="009F30F6"/>
    <w:rsid w:val="009F4023"/>
    <w:rsid w:val="009F423E"/>
    <w:rsid w:val="009F4649"/>
    <w:rsid w:val="009F56CD"/>
    <w:rsid w:val="009F5D7C"/>
    <w:rsid w:val="009F7106"/>
    <w:rsid w:val="009F7B68"/>
    <w:rsid w:val="00A00E8E"/>
    <w:rsid w:val="00A01C83"/>
    <w:rsid w:val="00A026C0"/>
    <w:rsid w:val="00A0314D"/>
    <w:rsid w:val="00A03B8C"/>
    <w:rsid w:val="00A04A52"/>
    <w:rsid w:val="00A052A4"/>
    <w:rsid w:val="00A055CC"/>
    <w:rsid w:val="00A05626"/>
    <w:rsid w:val="00A05820"/>
    <w:rsid w:val="00A05ACF"/>
    <w:rsid w:val="00A05C71"/>
    <w:rsid w:val="00A05CD2"/>
    <w:rsid w:val="00A05EA6"/>
    <w:rsid w:val="00A06393"/>
    <w:rsid w:val="00A06D1D"/>
    <w:rsid w:val="00A07398"/>
    <w:rsid w:val="00A07540"/>
    <w:rsid w:val="00A118F3"/>
    <w:rsid w:val="00A121DB"/>
    <w:rsid w:val="00A12D9B"/>
    <w:rsid w:val="00A152B6"/>
    <w:rsid w:val="00A153F3"/>
    <w:rsid w:val="00A1572E"/>
    <w:rsid w:val="00A15D05"/>
    <w:rsid w:val="00A15E00"/>
    <w:rsid w:val="00A2095D"/>
    <w:rsid w:val="00A20F6D"/>
    <w:rsid w:val="00A20FB9"/>
    <w:rsid w:val="00A21260"/>
    <w:rsid w:val="00A22758"/>
    <w:rsid w:val="00A2429D"/>
    <w:rsid w:val="00A24643"/>
    <w:rsid w:val="00A2535F"/>
    <w:rsid w:val="00A25666"/>
    <w:rsid w:val="00A26C7C"/>
    <w:rsid w:val="00A27E61"/>
    <w:rsid w:val="00A27EA8"/>
    <w:rsid w:val="00A308AA"/>
    <w:rsid w:val="00A313E1"/>
    <w:rsid w:val="00A31B13"/>
    <w:rsid w:val="00A31C45"/>
    <w:rsid w:val="00A32496"/>
    <w:rsid w:val="00A325A2"/>
    <w:rsid w:val="00A33255"/>
    <w:rsid w:val="00A33598"/>
    <w:rsid w:val="00A33D72"/>
    <w:rsid w:val="00A344BE"/>
    <w:rsid w:val="00A3648D"/>
    <w:rsid w:val="00A36D80"/>
    <w:rsid w:val="00A376FC"/>
    <w:rsid w:val="00A37BD1"/>
    <w:rsid w:val="00A37F67"/>
    <w:rsid w:val="00A400BC"/>
    <w:rsid w:val="00A40C28"/>
    <w:rsid w:val="00A40F12"/>
    <w:rsid w:val="00A416CB"/>
    <w:rsid w:val="00A42416"/>
    <w:rsid w:val="00A42723"/>
    <w:rsid w:val="00A42806"/>
    <w:rsid w:val="00A430E7"/>
    <w:rsid w:val="00A43417"/>
    <w:rsid w:val="00A434D2"/>
    <w:rsid w:val="00A437EE"/>
    <w:rsid w:val="00A439C7"/>
    <w:rsid w:val="00A4530C"/>
    <w:rsid w:val="00A50278"/>
    <w:rsid w:val="00A50641"/>
    <w:rsid w:val="00A507A3"/>
    <w:rsid w:val="00A510C9"/>
    <w:rsid w:val="00A51A52"/>
    <w:rsid w:val="00A51F08"/>
    <w:rsid w:val="00A5350A"/>
    <w:rsid w:val="00A53C75"/>
    <w:rsid w:val="00A53FEF"/>
    <w:rsid w:val="00A54A1D"/>
    <w:rsid w:val="00A54E3A"/>
    <w:rsid w:val="00A553D0"/>
    <w:rsid w:val="00A557DD"/>
    <w:rsid w:val="00A559C7"/>
    <w:rsid w:val="00A55CC1"/>
    <w:rsid w:val="00A5653E"/>
    <w:rsid w:val="00A60123"/>
    <w:rsid w:val="00A61125"/>
    <w:rsid w:val="00A615FF"/>
    <w:rsid w:val="00A61A2F"/>
    <w:rsid w:val="00A61A40"/>
    <w:rsid w:val="00A61D57"/>
    <w:rsid w:val="00A62513"/>
    <w:rsid w:val="00A63062"/>
    <w:rsid w:val="00A63109"/>
    <w:rsid w:val="00A6367A"/>
    <w:rsid w:val="00A636D9"/>
    <w:rsid w:val="00A63C0C"/>
    <w:rsid w:val="00A64834"/>
    <w:rsid w:val="00A64A85"/>
    <w:rsid w:val="00A64FB8"/>
    <w:rsid w:val="00A6690F"/>
    <w:rsid w:val="00A66D07"/>
    <w:rsid w:val="00A67F41"/>
    <w:rsid w:val="00A7000B"/>
    <w:rsid w:val="00A70049"/>
    <w:rsid w:val="00A708EE"/>
    <w:rsid w:val="00A709A6"/>
    <w:rsid w:val="00A71FB5"/>
    <w:rsid w:val="00A722F3"/>
    <w:rsid w:val="00A72971"/>
    <w:rsid w:val="00A72F57"/>
    <w:rsid w:val="00A747F0"/>
    <w:rsid w:val="00A74F42"/>
    <w:rsid w:val="00A75AD3"/>
    <w:rsid w:val="00A75D95"/>
    <w:rsid w:val="00A75E28"/>
    <w:rsid w:val="00A7764C"/>
    <w:rsid w:val="00A808FF"/>
    <w:rsid w:val="00A80C13"/>
    <w:rsid w:val="00A80E43"/>
    <w:rsid w:val="00A8230C"/>
    <w:rsid w:val="00A8241D"/>
    <w:rsid w:val="00A82601"/>
    <w:rsid w:val="00A826C0"/>
    <w:rsid w:val="00A8282D"/>
    <w:rsid w:val="00A82ABD"/>
    <w:rsid w:val="00A83BD6"/>
    <w:rsid w:val="00A842ED"/>
    <w:rsid w:val="00A84F49"/>
    <w:rsid w:val="00A85534"/>
    <w:rsid w:val="00A856B3"/>
    <w:rsid w:val="00A85C33"/>
    <w:rsid w:val="00A85CFD"/>
    <w:rsid w:val="00A862F9"/>
    <w:rsid w:val="00A86A3D"/>
    <w:rsid w:val="00A8713A"/>
    <w:rsid w:val="00A90B98"/>
    <w:rsid w:val="00A90C8B"/>
    <w:rsid w:val="00A91FD4"/>
    <w:rsid w:val="00A9247E"/>
    <w:rsid w:val="00A9354B"/>
    <w:rsid w:val="00A93D6F"/>
    <w:rsid w:val="00A947B8"/>
    <w:rsid w:val="00A94FCF"/>
    <w:rsid w:val="00A9638C"/>
    <w:rsid w:val="00A974FC"/>
    <w:rsid w:val="00A97728"/>
    <w:rsid w:val="00AA01EE"/>
    <w:rsid w:val="00AA0253"/>
    <w:rsid w:val="00AA0D3C"/>
    <w:rsid w:val="00AA1720"/>
    <w:rsid w:val="00AA20B9"/>
    <w:rsid w:val="00AA2469"/>
    <w:rsid w:val="00AA3E4E"/>
    <w:rsid w:val="00AA42BE"/>
    <w:rsid w:val="00AA43E3"/>
    <w:rsid w:val="00AA4663"/>
    <w:rsid w:val="00AA4DB4"/>
    <w:rsid w:val="00AA54CB"/>
    <w:rsid w:val="00AA6419"/>
    <w:rsid w:val="00AA6864"/>
    <w:rsid w:val="00AA6EFF"/>
    <w:rsid w:val="00AA7CD0"/>
    <w:rsid w:val="00AB01B4"/>
    <w:rsid w:val="00AB03AE"/>
    <w:rsid w:val="00AB0C23"/>
    <w:rsid w:val="00AB0E26"/>
    <w:rsid w:val="00AB2A4D"/>
    <w:rsid w:val="00AB32EB"/>
    <w:rsid w:val="00AB4BA4"/>
    <w:rsid w:val="00AB5796"/>
    <w:rsid w:val="00AB5866"/>
    <w:rsid w:val="00AB59FF"/>
    <w:rsid w:val="00AC012B"/>
    <w:rsid w:val="00AC01F1"/>
    <w:rsid w:val="00AC1D5C"/>
    <w:rsid w:val="00AC229F"/>
    <w:rsid w:val="00AC2506"/>
    <w:rsid w:val="00AC2A85"/>
    <w:rsid w:val="00AC2C9D"/>
    <w:rsid w:val="00AC319B"/>
    <w:rsid w:val="00AC358E"/>
    <w:rsid w:val="00AC3E81"/>
    <w:rsid w:val="00AC501F"/>
    <w:rsid w:val="00AC574C"/>
    <w:rsid w:val="00AC5E35"/>
    <w:rsid w:val="00AC5F90"/>
    <w:rsid w:val="00AD0B30"/>
    <w:rsid w:val="00AD144E"/>
    <w:rsid w:val="00AD18B0"/>
    <w:rsid w:val="00AD1B36"/>
    <w:rsid w:val="00AD1B3D"/>
    <w:rsid w:val="00AD2744"/>
    <w:rsid w:val="00AD277E"/>
    <w:rsid w:val="00AD2A49"/>
    <w:rsid w:val="00AD2AC1"/>
    <w:rsid w:val="00AD2FA6"/>
    <w:rsid w:val="00AD3766"/>
    <w:rsid w:val="00AD397F"/>
    <w:rsid w:val="00AD55A4"/>
    <w:rsid w:val="00AD5DF5"/>
    <w:rsid w:val="00AD6931"/>
    <w:rsid w:val="00AD7443"/>
    <w:rsid w:val="00AD745B"/>
    <w:rsid w:val="00AE0E04"/>
    <w:rsid w:val="00AE1011"/>
    <w:rsid w:val="00AE1070"/>
    <w:rsid w:val="00AE1A6B"/>
    <w:rsid w:val="00AE2448"/>
    <w:rsid w:val="00AE2561"/>
    <w:rsid w:val="00AE28B4"/>
    <w:rsid w:val="00AE2E2F"/>
    <w:rsid w:val="00AE3345"/>
    <w:rsid w:val="00AE3532"/>
    <w:rsid w:val="00AE3B22"/>
    <w:rsid w:val="00AE3D2F"/>
    <w:rsid w:val="00AE44B6"/>
    <w:rsid w:val="00AE56F6"/>
    <w:rsid w:val="00AE6533"/>
    <w:rsid w:val="00AE7106"/>
    <w:rsid w:val="00AF0AD6"/>
    <w:rsid w:val="00AF14DF"/>
    <w:rsid w:val="00AF28FB"/>
    <w:rsid w:val="00AF37D9"/>
    <w:rsid w:val="00AF513B"/>
    <w:rsid w:val="00AF575B"/>
    <w:rsid w:val="00AF5C08"/>
    <w:rsid w:val="00AF5C2E"/>
    <w:rsid w:val="00AF66AB"/>
    <w:rsid w:val="00AF6C55"/>
    <w:rsid w:val="00AF7096"/>
    <w:rsid w:val="00AF781A"/>
    <w:rsid w:val="00AF7877"/>
    <w:rsid w:val="00B005C9"/>
    <w:rsid w:val="00B00B58"/>
    <w:rsid w:val="00B00CBD"/>
    <w:rsid w:val="00B00DC6"/>
    <w:rsid w:val="00B01FC9"/>
    <w:rsid w:val="00B021B7"/>
    <w:rsid w:val="00B02F39"/>
    <w:rsid w:val="00B03989"/>
    <w:rsid w:val="00B0433C"/>
    <w:rsid w:val="00B045A7"/>
    <w:rsid w:val="00B04824"/>
    <w:rsid w:val="00B049A1"/>
    <w:rsid w:val="00B0519B"/>
    <w:rsid w:val="00B06770"/>
    <w:rsid w:val="00B06CAC"/>
    <w:rsid w:val="00B07005"/>
    <w:rsid w:val="00B07C22"/>
    <w:rsid w:val="00B1014B"/>
    <w:rsid w:val="00B101F2"/>
    <w:rsid w:val="00B1081C"/>
    <w:rsid w:val="00B10878"/>
    <w:rsid w:val="00B10D40"/>
    <w:rsid w:val="00B10EA9"/>
    <w:rsid w:val="00B11456"/>
    <w:rsid w:val="00B14DD2"/>
    <w:rsid w:val="00B154CB"/>
    <w:rsid w:val="00B15C3D"/>
    <w:rsid w:val="00B15DEF"/>
    <w:rsid w:val="00B15E51"/>
    <w:rsid w:val="00B1611A"/>
    <w:rsid w:val="00B161C6"/>
    <w:rsid w:val="00B16524"/>
    <w:rsid w:val="00B16707"/>
    <w:rsid w:val="00B16DAF"/>
    <w:rsid w:val="00B173C5"/>
    <w:rsid w:val="00B2008E"/>
    <w:rsid w:val="00B203CC"/>
    <w:rsid w:val="00B21DEE"/>
    <w:rsid w:val="00B22EEB"/>
    <w:rsid w:val="00B23A60"/>
    <w:rsid w:val="00B24A21"/>
    <w:rsid w:val="00B24D1A"/>
    <w:rsid w:val="00B257E5"/>
    <w:rsid w:val="00B25944"/>
    <w:rsid w:val="00B25EF2"/>
    <w:rsid w:val="00B26597"/>
    <w:rsid w:val="00B26770"/>
    <w:rsid w:val="00B30887"/>
    <w:rsid w:val="00B30FDF"/>
    <w:rsid w:val="00B313C6"/>
    <w:rsid w:val="00B314B2"/>
    <w:rsid w:val="00B32587"/>
    <w:rsid w:val="00B32915"/>
    <w:rsid w:val="00B35098"/>
    <w:rsid w:val="00B35217"/>
    <w:rsid w:val="00B360F2"/>
    <w:rsid w:val="00B369DE"/>
    <w:rsid w:val="00B404DD"/>
    <w:rsid w:val="00B41093"/>
    <w:rsid w:val="00B41328"/>
    <w:rsid w:val="00B41A5C"/>
    <w:rsid w:val="00B420C1"/>
    <w:rsid w:val="00B42B36"/>
    <w:rsid w:val="00B42FBC"/>
    <w:rsid w:val="00B4332B"/>
    <w:rsid w:val="00B44DF9"/>
    <w:rsid w:val="00B45D0E"/>
    <w:rsid w:val="00B463B3"/>
    <w:rsid w:val="00B46669"/>
    <w:rsid w:val="00B475C8"/>
    <w:rsid w:val="00B47C0E"/>
    <w:rsid w:val="00B47D4D"/>
    <w:rsid w:val="00B50956"/>
    <w:rsid w:val="00B51B97"/>
    <w:rsid w:val="00B51BDF"/>
    <w:rsid w:val="00B52557"/>
    <w:rsid w:val="00B52699"/>
    <w:rsid w:val="00B52F26"/>
    <w:rsid w:val="00B539D9"/>
    <w:rsid w:val="00B53BFE"/>
    <w:rsid w:val="00B54430"/>
    <w:rsid w:val="00B548D8"/>
    <w:rsid w:val="00B548E0"/>
    <w:rsid w:val="00B54974"/>
    <w:rsid w:val="00B54ACE"/>
    <w:rsid w:val="00B5650A"/>
    <w:rsid w:val="00B5716E"/>
    <w:rsid w:val="00B57590"/>
    <w:rsid w:val="00B60DAB"/>
    <w:rsid w:val="00B61624"/>
    <w:rsid w:val="00B61DBF"/>
    <w:rsid w:val="00B620A9"/>
    <w:rsid w:val="00B63BD1"/>
    <w:rsid w:val="00B6631B"/>
    <w:rsid w:val="00B67EDF"/>
    <w:rsid w:val="00B7110F"/>
    <w:rsid w:val="00B71242"/>
    <w:rsid w:val="00B71A6B"/>
    <w:rsid w:val="00B71AC9"/>
    <w:rsid w:val="00B71ACB"/>
    <w:rsid w:val="00B72190"/>
    <w:rsid w:val="00B74738"/>
    <w:rsid w:val="00B7617A"/>
    <w:rsid w:val="00B76266"/>
    <w:rsid w:val="00B77094"/>
    <w:rsid w:val="00B77479"/>
    <w:rsid w:val="00B77633"/>
    <w:rsid w:val="00B77D43"/>
    <w:rsid w:val="00B80219"/>
    <w:rsid w:val="00B808A3"/>
    <w:rsid w:val="00B8125B"/>
    <w:rsid w:val="00B812D3"/>
    <w:rsid w:val="00B824C4"/>
    <w:rsid w:val="00B829C3"/>
    <w:rsid w:val="00B82CA1"/>
    <w:rsid w:val="00B83A5D"/>
    <w:rsid w:val="00B83C5B"/>
    <w:rsid w:val="00B840D9"/>
    <w:rsid w:val="00B841DA"/>
    <w:rsid w:val="00B84749"/>
    <w:rsid w:val="00B84FA1"/>
    <w:rsid w:val="00B859C1"/>
    <w:rsid w:val="00B85F4E"/>
    <w:rsid w:val="00B8696A"/>
    <w:rsid w:val="00B86D49"/>
    <w:rsid w:val="00B872E6"/>
    <w:rsid w:val="00B87470"/>
    <w:rsid w:val="00B910A6"/>
    <w:rsid w:val="00B9166B"/>
    <w:rsid w:val="00B9190B"/>
    <w:rsid w:val="00B91B2E"/>
    <w:rsid w:val="00B92193"/>
    <w:rsid w:val="00B92292"/>
    <w:rsid w:val="00B933A3"/>
    <w:rsid w:val="00B933C3"/>
    <w:rsid w:val="00B93DB3"/>
    <w:rsid w:val="00B93E2F"/>
    <w:rsid w:val="00B93F81"/>
    <w:rsid w:val="00B941C1"/>
    <w:rsid w:val="00B94A04"/>
    <w:rsid w:val="00B94C07"/>
    <w:rsid w:val="00B9551E"/>
    <w:rsid w:val="00B95525"/>
    <w:rsid w:val="00B95FA7"/>
    <w:rsid w:val="00B9601B"/>
    <w:rsid w:val="00B9673F"/>
    <w:rsid w:val="00B96FDC"/>
    <w:rsid w:val="00B9759E"/>
    <w:rsid w:val="00B97B41"/>
    <w:rsid w:val="00B97E14"/>
    <w:rsid w:val="00BA0603"/>
    <w:rsid w:val="00BA0A52"/>
    <w:rsid w:val="00BA0FA6"/>
    <w:rsid w:val="00BA1972"/>
    <w:rsid w:val="00BA19A2"/>
    <w:rsid w:val="00BA2165"/>
    <w:rsid w:val="00BA2D2F"/>
    <w:rsid w:val="00BA3787"/>
    <w:rsid w:val="00BA48AA"/>
    <w:rsid w:val="00BA4E76"/>
    <w:rsid w:val="00BA5357"/>
    <w:rsid w:val="00BA55DC"/>
    <w:rsid w:val="00BA5943"/>
    <w:rsid w:val="00BA5D18"/>
    <w:rsid w:val="00BA5E03"/>
    <w:rsid w:val="00BA5F9B"/>
    <w:rsid w:val="00BA6861"/>
    <w:rsid w:val="00BA6953"/>
    <w:rsid w:val="00BA769E"/>
    <w:rsid w:val="00BA773D"/>
    <w:rsid w:val="00BA7893"/>
    <w:rsid w:val="00BA7BF6"/>
    <w:rsid w:val="00BA7F56"/>
    <w:rsid w:val="00BB02A1"/>
    <w:rsid w:val="00BB0803"/>
    <w:rsid w:val="00BB0B0C"/>
    <w:rsid w:val="00BB0B33"/>
    <w:rsid w:val="00BB1AFD"/>
    <w:rsid w:val="00BB217D"/>
    <w:rsid w:val="00BB2C39"/>
    <w:rsid w:val="00BB2FDD"/>
    <w:rsid w:val="00BB3311"/>
    <w:rsid w:val="00BB34EE"/>
    <w:rsid w:val="00BB3A8E"/>
    <w:rsid w:val="00BB3CC7"/>
    <w:rsid w:val="00BB4AB1"/>
    <w:rsid w:val="00BB538E"/>
    <w:rsid w:val="00BB54BB"/>
    <w:rsid w:val="00BB646D"/>
    <w:rsid w:val="00BB6A11"/>
    <w:rsid w:val="00BB7AAD"/>
    <w:rsid w:val="00BC0A19"/>
    <w:rsid w:val="00BC1A58"/>
    <w:rsid w:val="00BC2222"/>
    <w:rsid w:val="00BC2636"/>
    <w:rsid w:val="00BC2F33"/>
    <w:rsid w:val="00BC402E"/>
    <w:rsid w:val="00BC69BC"/>
    <w:rsid w:val="00BC6DCA"/>
    <w:rsid w:val="00BC710E"/>
    <w:rsid w:val="00BC7198"/>
    <w:rsid w:val="00BD0257"/>
    <w:rsid w:val="00BD06AB"/>
    <w:rsid w:val="00BD1450"/>
    <w:rsid w:val="00BD1DF6"/>
    <w:rsid w:val="00BD2B81"/>
    <w:rsid w:val="00BD2D21"/>
    <w:rsid w:val="00BD32A3"/>
    <w:rsid w:val="00BD400B"/>
    <w:rsid w:val="00BD42B5"/>
    <w:rsid w:val="00BD44C9"/>
    <w:rsid w:val="00BD4D48"/>
    <w:rsid w:val="00BD510E"/>
    <w:rsid w:val="00BD53CA"/>
    <w:rsid w:val="00BD53FF"/>
    <w:rsid w:val="00BD5F3F"/>
    <w:rsid w:val="00BD67BA"/>
    <w:rsid w:val="00BD7A18"/>
    <w:rsid w:val="00BE0407"/>
    <w:rsid w:val="00BE0470"/>
    <w:rsid w:val="00BE05F2"/>
    <w:rsid w:val="00BE0B58"/>
    <w:rsid w:val="00BE0DB5"/>
    <w:rsid w:val="00BE0EA6"/>
    <w:rsid w:val="00BE172C"/>
    <w:rsid w:val="00BE1784"/>
    <w:rsid w:val="00BE1937"/>
    <w:rsid w:val="00BE1A43"/>
    <w:rsid w:val="00BE229F"/>
    <w:rsid w:val="00BE266A"/>
    <w:rsid w:val="00BE293C"/>
    <w:rsid w:val="00BE39BA"/>
    <w:rsid w:val="00BE6AD2"/>
    <w:rsid w:val="00BE6DEF"/>
    <w:rsid w:val="00BE6E4E"/>
    <w:rsid w:val="00BE7AC1"/>
    <w:rsid w:val="00BE7FD6"/>
    <w:rsid w:val="00BF0410"/>
    <w:rsid w:val="00BF155B"/>
    <w:rsid w:val="00BF19CB"/>
    <w:rsid w:val="00BF227A"/>
    <w:rsid w:val="00BF3048"/>
    <w:rsid w:val="00BF3D4A"/>
    <w:rsid w:val="00BF3E1C"/>
    <w:rsid w:val="00BF3FA0"/>
    <w:rsid w:val="00BF4185"/>
    <w:rsid w:val="00BF4654"/>
    <w:rsid w:val="00BF4D85"/>
    <w:rsid w:val="00BF5192"/>
    <w:rsid w:val="00BF53D2"/>
    <w:rsid w:val="00BF627C"/>
    <w:rsid w:val="00BF6806"/>
    <w:rsid w:val="00BF6FF9"/>
    <w:rsid w:val="00BF788D"/>
    <w:rsid w:val="00C00A50"/>
    <w:rsid w:val="00C00BF8"/>
    <w:rsid w:val="00C00E3D"/>
    <w:rsid w:val="00C01826"/>
    <w:rsid w:val="00C023C7"/>
    <w:rsid w:val="00C02CD1"/>
    <w:rsid w:val="00C02CF6"/>
    <w:rsid w:val="00C037B1"/>
    <w:rsid w:val="00C03D81"/>
    <w:rsid w:val="00C043FC"/>
    <w:rsid w:val="00C04650"/>
    <w:rsid w:val="00C05089"/>
    <w:rsid w:val="00C0539E"/>
    <w:rsid w:val="00C053A2"/>
    <w:rsid w:val="00C068F4"/>
    <w:rsid w:val="00C07C64"/>
    <w:rsid w:val="00C10200"/>
    <w:rsid w:val="00C10459"/>
    <w:rsid w:val="00C1091C"/>
    <w:rsid w:val="00C119BF"/>
    <w:rsid w:val="00C122F5"/>
    <w:rsid w:val="00C129D9"/>
    <w:rsid w:val="00C12FD8"/>
    <w:rsid w:val="00C13681"/>
    <w:rsid w:val="00C148D4"/>
    <w:rsid w:val="00C14985"/>
    <w:rsid w:val="00C15028"/>
    <w:rsid w:val="00C16665"/>
    <w:rsid w:val="00C16AE9"/>
    <w:rsid w:val="00C16FA3"/>
    <w:rsid w:val="00C1700A"/>
    <w:rsid w:val="00C17679"/>
    <w:rsid w:val="00C20ADC"/>
    <w:rsid w:val="00C2172E"/>
    <w:rsid w:val="00C221C2"/>
    <w:rsid w:val="00C22534"/>
    <w:rsid w:val="00C234B8"/>
    <w:rsid w:val="00C234C7"/>
    <w:rsid w:val="00C2385E"/>
    <w:rsid w:val="00C252BE"/>
    <w:rsid w:val="00C25841"/>
    <w:rsid w:val="00C26137"/>
    <w:rsid w:val="00C265AA"/>
    <w:rsid w:val="00C26F58"/>
    <w:rsid w:val="00C3032B"/>
    <w:rsid w:val="00C30581"/>
    <w:rsid w:val="00C30D2B"/>
    <w:rsid w:val="00C30E77"/>
    <w:rsid w:val="00C3106F"/>
    <w:rsid w:val="00C315E8"/>
    <w:rsid w:val="00C31902"/>
    <w:rsid w:val="00C33506"/>
    <w:rsid w:val="00C33FB9"/>
    <w:rsid w:val="00C3454C"/>
    <w:rsid w:val="00C353AD"/>
    <w:rsid w:val="00C35B97"/>
    <w:rsid w:val="00C37984"/>
    <w:rsid w:val="00C37C36"/>
    <w:rsid w:val="00C37CD5"/>
    <w:rsid w:val="00C405C4"/>
    <w:rsid w:val="00C40F3C"/>
    <w:rsid w:val="00C415D1"/>
    <w:rsid w:val="00C41A34"/>
    <w:rsid w:val="00C41F24"/>
    <w:rsid w:val="00C42231"/>
    <w:rsid w:val="00C4274A"/>
    <w:rsid w:val="00C42903"/>
    <w:rsid w:val="00C42FB8"/>
    <w:rsid w:val="00C43681"/>
    <w:rsid w:val="00C43803"/>
    <w:rsid w:val="00C452AA"/>
    <w:rsid w:val="00C46DB5"/>
    <w:rsid w:val="00C47C90"/>
    <w:rsid w:val="00C500CA"/>
    <w:rsid w:val="00C51717"/>
    <w:rsid w:val="00C518DD"/>
    <w:rsid w:val="00C51FC3"/>
    <w:rsid w:val="00C524E9"/>
    <w:rsid w:val="00C55387"/>
    <w:rsid w:val="00C55DCC"/>
    <w:rsid w:val="00C55F2E"/>
    <w:rsid w:val="00C56B4F"/>
    <w:rsid w:val="00C56F8F"/>
    <w:rsid w:val="00C57968"/>
    <w:rsid w:val="00C57AD7"/>
    <w:rsid w:val="00C57C42"/>
    <w:rsid w:val="00C60E5B"/>
    <w:rsid w:val="00C60EF0"/>
    <w:rsid w:val="00C61012"/>
    <w:rsid w:val="00C6106A"/>
    <w:rsid w:val="00C61AEC"/>
    <w:rsid w:val="00C61B77"/>
    <w:rsid w:val="00C6203A"/>
    <w:rsid w:val="00C625B2"/>
    <w:rsid w:val="00C629D0"/>
    <w:rsid w:val="00C62D39"/>
    <w:rsid w:val="00C63098"/>
    <w:rsid w:val="00C6371E"/>
    <w:rsid w:val="00C6426B"/>
    <w:rsid w:val="00C650C4"/>
    <w:rsid w:val="00C6526F"/>
    <w:rsid w:val="00C656E0"/>
    <w:rsid w:val="00C66015"/>
    <w:rsid w:val="00C666AE"/>
    <w:rsid w:val="00C66C3D"/>
    <w:rsid w:val="00C70821"/>
    <w:rsid w:val="00C71341"/>
    <w:rsid w:val="00C71B44"/>
    <w:rsid w:val="00C71EC2"/>
    <w:rsid w:val="00C72201"/>
    <w:rsid w:val="00C72515"/>
    <w:rsid w:val="00C72F5D"/>
    <w:rsid w:val="00C73392"/>
    <w:rsid w:val="00C737BE"/>
    <w:rsid w:val="00C73A52"/>
    <w:rsid w:val="00C745CF"/>
    <w:rsid w:val="00C746D0"/>
    <w:rsid w:val="00C74C85"/>
    <w:rsid w:val="00C74CD5"/>
    <w:rsid w:val="00C761D6"/>
    <w:rsid w:val="00C774F0"/>
    <w:rsid w:val="00C77EC3"/>
    <w:rsid w:val="00C805F7"/>
    <w:rsid w:val="00C8092F"/>
    <w:rsid w:val="00C80ABD"/>
    <w:rsid w:val="00C80E7B"/>
    <w:rsid w:val="00C815FA"/>
    <w:rsid w:val="00C831A2"/>
    <w:rsid w:val="00C84632"/>
    <w:rsid w:val="00C850D5"/>
    <w:rsid w:val="00C861DA"/>
    <w:rsid w:val="00C86A08"/>
    <w:rsid w:val="00C86D84"/>
    <w:rsid w:val="00C86E46"/>
    <w:rsid w:val="00C86FB8"/>
    <w:rsid w:val="00C8771E"/>
    <w:rsid w:val="00C90C07"/>
    <w:rsid w:val="00C91453"/>
    <w:rsid w:val="00C91635"/>
    <w:rsid w:val="00C91675"/>
    <w:rsid w:val="00C924B9"/>
    <w:rsid w:val="00C92C5F"/>
    <w:rsid w:val="00C9374D"/>
    <w:rsid w:val="00C9420C"/>
    <w:rsid w:val="00C94852"/>
    <w:rsid w:val="00C94F55"/>
    <w:rsid w:val="00C94F88"/>
    <w:rsid w:val="00C952F8"/>
    <w:rsid w:val="00C95566"/>
    <w:rsid w:val="00C95FCC"/>
    <w:rsid w:val="00C96BD0"/>
    <w:rsid w:val="00C97385"/>
    <w:rsid w:val="00C973E5"/>
    <w:rsid w:val="00C976F9"/>
    <w:rsid w:val="00C97EE8"/>
    <w:rsid w:val="00C97F53"/>
    <w:rsid w:val="00CA001D"/>
    <w:rsid w:val="00CA1504"/>
    <w:rsid w:val="00CA177B"/>
    <w:rsid w:val="00CA17F5"/>
    <w:rsid w:val="00CA21AF"/>
    <w:rsid w:val="00CA38DB"/>
    <w:rsid w:val="00CA3F78"/>
    <w:rsid w:val="00CA44B9"/>
    <w:rsid w:val="00CA4743"/>
    <w:rsid w:val="00CA496D"/>
    <w:rsid w:val="00CA5273"/>
    <w:rsid w:val="00CA5AE2"/>
    <w:rsid w:val="00CB0A69"/>
    <w:rsid w:val="00CB0BA1"/>
    <w:rsid w:val="00CB1328"/>
    <w:rsid w:val="00CB43FC"/>
    <w:rsid w:val="00CB447D"/>
    <w:rsid w:val="00CB4D41"/>
    <w:rsid w:val="00CB54F7"/>
    <w:rsid w:val="00CB587E"/>
    <w:rsid w:val="00CB5ADB"/>
    <w:rsid w:val="00CB738A"/>
    <w:rsid w:val="00CC07F4"/>
    <w:rsid w:val="00CC0D42"/>
    <w:rsid w:val="00CC1E73"/>
    <w:rsid w:val="00CC2078"/>
    <w:rsid w:val="00CC2F76"/>
    <w:rsid w:val="00CC2FCA"/>
    <w:rsid w:val="00CC366C"/>
    <w:rsid w:val="00CC4082"/>
    <w:rsid w:val="00CC412C"/>
    <w:rsid w:val="00CC41B3"/>
    <w:rsid w:val="00CC5875"/>
    <w:rsid w:val="00CC58F7"/>
    <w:rsid w:val="00CC67F8"/>
    <w:rsid w:val="00CC6DEA"/>
    <w:rsid w:val="00CC7CE0"/>
    <w:rsid w:val="00CC7F66"/>
    <w:rsid w:val="00CD0DED"/>
    <w:rsid w:val="00CD1066"/>
    <w:rsid w:val="00CD16E0"/>
    <w:rsid w:val="00CD1FDB"/>
    <w:rsid w:val="00CD36EB"/>
    <w:rsid w:val="00CD3BCC"/>
    <w:rsid w:val="00CD3BD5"/>
    <w:rsid w:val="00CD47FC"/>
    <w:rsid w:val="00CD503B"/>
    <w:rsid w:val="00CD53F3"/>
    <w:rsid w:val="00CD548A"/>
    <w:rsid w:val="00CD7038"/>
    <w:rsid w:val="00CD7705"/>
    <w:rsid w:val="00CD7F63"/>
    <w:rsid w:val="00CE00D1"/>
    <w:rsid w:val="00CE0B8D"/>
    <w:rsid w:val="00CE16B0"/>
    <w:rsid w:val="00CE210E"/>
    <w:rsid w:val="00CE30D8"/>
    <w:rsid w:val="00CE3FC4"/>
    <w:rsid w:val="00CE42FD"/>
    <w:rsid w:val="00CE4871"/>
    <w:rsid w:val="00CE4D90"/>
    <w:rsid w:val="00CE5967"/>
    <w:rsid w:val="00CE6CB7"/>
    <w:rsid w:val="00CE6D6E"/>
    <w:rsid w:val="00CE7727"/>
    <w:rsid w:val="00CF0DA1"/>
    <w:rsid w:val="00CF1D3C"/>
    <w:rsid w:val="00CF25AE"/>
    <w:rsid w:val="00CF2C74"/>
    <w:rsid w:val="00CF3045"/>
    <w:rsid w:val="00CF3F1F"/>
    <w:rsid w:val="00CF48D9"/>
    <w:rsid w:val="00CF4FB5"/>
    <w:rsid w:val="00CF5749"/>
    <w:rsid w:val="00CF622B"/>
    <w:rsid w:val="00CF6B00"/>
    <w:rsid w:val="00CF7A01"/>
    <w:rsid w:val="00D00C27"/>
    <w:rsid w:val="00D0193D"/>
    <w:rsid w:val="00D02A03"/>
    <w:rsid w:val="00D02FFD"/>
    <w:rsid w:val="00D031AD"/>
    <w:rsid w:val="00D0348B"/>
    <w:rsid w:val="00D040BE"/>
    <w:rsid w:val="00D0524D"/>
    <w:rsid w:val="00D0627E"/>
    <w:rsid w:val="00D06E59"/>
    <w:rsid w:val="00D07057"/>
    <w:rsid w:val="00D073FF"/>
    <w:rsid w:val="00D07E2B"/>
    <w:rsid w:val="00D10B1D"/>
    <w:rsid w:val="00D10F12"/>
    <w:rsid w:val="00D11393"/>
    <w:rsid w:val="00D11542"/>
    <w:rsid w:val="00D11BFB"/>
    <w:rsid w:val="00D11D47"/>
    <w:rsid w:val="00D11DAC"/>
    <w:rsid w:val="00D1219E"/>
    <w:rsid w:val="00D14811"/>
    <w:rsid w:val="00D14A4E"/>
    <w:rsid w:val="00D152B7"/>
    <w:rsid w:val="00D152C8"/>
    <w:rsid w:val="00D160F8"/>
    <w:rsid w:val="00D16324"/>
    <w:rsid w:val="00D16454"/>
    <w:rsid w:val="00D17A89"/>
    <w:rsid w:val="00D203AA"/>
    <w:rsid w:val="00D20BE4"/>
    <w:rsid w:val="00D22765"/>
    <w:rsid w:val="00D22BD5"/>
    <w:rsid w:val="00D2365B"/>
    <w:rsid w:val="00D24138"/>
    <w:rsid w:val="00D24B78"/>
    <w:rsid w:val="00D2563F"/>
    <w:rsid w:val="00D257A6"/>
    <w:rsid w:val="00D25C95"/>
    <w:rsid w:val="00D276C4"/>
    <w:rsid w:val="00D276E9"/>
    <w:rsid w:val="00D278A4"/>
    <w:rsid w:val="00D30741"/>
    <w:rsid w:val="00D30857"/>
    <w:rsid w:val="00D30EC8"/>
    <w:rsid w:val="00D315AF"/>
    <w:rsid w:val="00D315BB"/>
    <w:rsid w:val="00D32171"/>
    <w:rsid w:val="00D32F6F"/>
    <w:rsid w:val="00D33971"/>
    <w:rsid w:val="00D34286"/>
    <w:rsid w:val="00D34D26"/>
    <w:rsid w:val="00D34E46"/>
    <w:rsid w:val="00D35257"/>
    <w:rsid w:val="00D35B8D"/>
    <w:rsid w:val="00D35DFB"/>
    <w:rsid w:val="00D363A2"/>
    <w:rsid w:val="00D367E5"/>
    <w:rsid w:val="00D36DF8"/>
    <w:rsid w:val="00D37ABF"/>
    <w:rsid w:val="00D37B72"/>
    <w:rsid w:val="00D37C2E"/>
    <w:rsid w:val="00D40A22"/>
    <w:rsid w:val="00D40D98"/>
    <w:rsid w:val="00D41132"/>
    <w:rsid w:val="00D419FD"/>
    <w:rsid w:val="00D41A34"/>
    <w:rsid w:val="00D41D73"/>
    <w:rsid w:val="00D42393"/>
    <w:rsid w:val="00D42D6C"/>
    <w:rsid w:val="00D43321"/>
    <w:rsid w:val="00D4551D"/>
    <w:rsid w:val="00D457C7"/>
    <w:rsid w:val="00D45FE6"/>
    <w:rsid w:val="00D472BD"/>
    <w:rsid w:val="00D47763"/>
    <w:rsid w:val="00D47DDD"/>
    <w:rsid w:val="00D5060C"/>
    <w:rsid w:val="00D50908"/>
    <w:rsid w:val="00D50B86"/>
    <w:rsid w:val="00D515FC"/>
    <w:rsid w:val="00D523DA"/>
    <w:rsid w:val="00D52538"/>
    <w:rsid w:val="00D53024"/>
    <w:rsid w:val="00D5337A"/>
    <w:rsid w:val="00D53F1A"/>
    <w:rsid w:val="00D54847"/>
    <w:rsid w:val="00D550BC"/>
    <w:rsid w:val="00D5600E"/>
    <w:rsid w:val="00D567A9"/>
    <w:rsid w:val="00D60018"/>
    <w:rsid w:val="00D601F0"/>
    <w:rsid w:val="00D60759"/>
    <w:rsid w:val="00D61308"/>
    <w:rsid w:val="00D6132F"/>
    <w:rsid w:val="00D62213"/>
    <w:rsid w:val="00D62802"/>
    <w:rsid w:val="00D63FA4"/>
    <w:rsid w:val="00D641FE"/>
    <w:rsid w:val="00D6452C"/>
    <w:rsid w:val="00D64E4E"/>
    <w:rsid w:val="00D65412"/>
    <w:rsid w:val="00D67039"/>
    <w:rsid w:val="00D67921"/>
    <w:rsid w:val="00D67BC1"/>
    <w:rsid w:val="00D7021A"/>
    <w:rsid w:val="00D71030"/>
    <w:rsid w:val="00D721FE"/>
    <w:rsid w:val="00D72295"/>
    <w:rsid w:val="00D72C6E"/>
    <w:rsid w:val="00D7427E"/>
    <w:rsid w:val="00D7452B"/>
    <w:rsid w:val="00D74536"/>
    <w:rsid w:val="00D748B7"/>
    <w:rsid w:val="00D74CAE"/>
    <w:rsid w:val="00D75E46"/>
    <w:rsid w:val="00D76616"/>
    <w:rsid w:val="00D76926"/>
    <w:rsid w:val="00D77D87"/>
    <w:rsid w:val="00D8034C"/>
    <w:rsid w:val="00D80459"/>
    <w:rsid w:val="00D80784"/>
    <w:rsid w:val="00D80AB8"/>
    <w:rsid w:val="00D80E7F"/>
    <w:rsid w:val="00D811A8"/>
    <w:rsid w:val="00D81AC5"/>
    <w:rsid w:val="00D82EAB"/>
    <w:rsid w:val="00D83614"/>
    <w:rsid w:val="00D837A1"/>
    <w:rsid w:val="00D83BFC"/>
    <w:rsid w:val="00D843F4"/>
    <w:rsid w:val="00D85A1E"/>
    <w:rsid w:val="00D85E5A"/>
    <w:rsid w:val="00D85F7F"/>
    <w:rsid w:val="00D861E2"/>
    <w:rsid w:val="00D865F4"/>
    <w:rsid w:val="00D86634"/>
    <w:rsid w:val="00D86FAF"/>
    <w:rsid w:val="00D87703"/>
    <w:rsid w:val="00D87870"/>
    <w:rsid w:val="00D912A6"/>
    <w:rsid w:val="00D91F44"/>
    <w:rsid w:val="00D9223C"/>
    <w:rsid w:val="00D92CA5"/>
    <w:rsid w:val="00D92CDE"/>
    <w:rsid w:val="00D93C64"/>
    <w:rsid w:val="00D947E0"/>
    <w:rsid w:val="00D95720"/>
    <w:rsid w:val="00D95C59"/>
    <w:rsid w:val="00D96224"/>
    <w:rsid w:val="00D96C00"/>
    <w:rsid w:val="00D970B4"/>
    <w:rsid w:val="00DA142C"/>
    <w:rsid w:val="00DA2B4B"/>
    <w:rsid w:val="00DA2FA1"/>
    <w:rsid w:val="00DA3208"/>
    <w:rsid w:val="00DA3CF7"/>
    <w:rsid w:val="00DA40DA"/>
    <w:rsid w:val="00DA5F3D"/>
    <w:rsid w:val="00DA6DDC"/>
    <w:rsid w:val="00DA72ED"/>
    <w:rsid w:val="00DA7DC4"/>
    <w:rsid w:val="00DB0D0B"/>
    <w:rsid w:val="00DB157E"/>
    <w:rsid w:val="00DB1849"/>
    <w:rsid w:val="00DB2945"/>
    <w:rsid w:val="00DB35F7"/>
    <w:rsid w:val="00DB3A9A"/>
    <w:rsid w:val="00DB403E"/>
    <w:rsid w:val="00DB4FE0"/>
    <w:rsid w:val="00DB5271"/>
    <w:rsid w:val="00DB542C"/>
    <w:rsid w:val="00DB64C9"/>
    <w:rsid w:val="00DB6779"/>
    <w:rsid w:val="00DB6AEA"/>
    <w:rsid w:val="00DB6B35"/>
    <w:rsid w:val="00DB6B95"/>
    <w:rsid w:val="00DB6E94"/>
    <w:rsid w:val="00DB7C20"/>
    <w:rsid w:val="00DC0217"/>
    <w:rsid w:val="00DC07AD"/>
    <w:rsid w:val="00DC0AB6"/>
    <w:rsid w:val="00DC0D51"/>
    <w:rsid w:val="00DC179C"/>
    <w:rsid w:val="00DC17B5"/>
    <w:rsid w:val="00DC2933"/>
    <w:rsid w:val="00DC2EDA"/>
    <w:rsid w:val="00DC31D6"/>
    <w:rsid w:val="00DC325A"/>
    <w:rsid w:val="00DC453E"/>
    <w:rsid w:val="00DC4B2F"/>
    <w:rsid w:val="00DC4DE8"/>
    <w:rsid w:val="00DC541E"/>
    <w:rsid w:val="00DC592B"/>
    <w:rsid w:val="00DC6850"/>
    <w:rsid w:val="00DC6A9C"/>
    <w:rsid w:val="00DC76D7"/>
    <w:rsid w:val="00DC7B15"/>
    <w:rsid w:val="00DD0A38"/>
    <w:rsid w:val="00DD0A58"/>
    <w:rsid w:val="00DD0B64"/>
    <w:rsid w:val="00DD0C0C"/>
    <w:rsid w:val="00DD1539"/>
    <w:rsid w:val="00DD196C"/>
    <w:rsid w:val="00DD245B"/>
    <w:rsid w:val="00DD2726"/>
    <w:rsid w:val="00DD345B"/>
    <w:rsid w:val="00DD43D8"/>
    <w:rsid w:val="00DD4715"/>
    <w:rsid w:val="00DD52D5"/>
    <w:rsid w:val="00DD6937"/>
    <w:rsid w:val="00DE0501"/>
    <w:rsid w:val="00DE0605"/>
    <w:rsid w:val="00DE382B"/>
    <w:rsid w:val="00DE3C1C"/>
    <w:rsid w:val="00DE3C49"/>
    <w:rsid w:val="00DE4497"/>
    <w:rsid w:val="00DE4857"/>
    <w:rsid w:val="00DE4CE4"/>
    <w:rsid w:val="00DE567E"/>
    <w:rsid w:val="00DE5D12"/>
    <w:rsid w:val="00DE615F"/>
    <w:rsid w:val="00DE62D7"/>
    <w:rsid w:val="00DE65FA"/>
    <w:rsid w:val="00DE7EAB"/>
    <w:rsid w:val="00DF00A7"/>
    <w:rsid w:val="00DF0B08"/>
    <w:rsid w:val="00DF15E3"/>
    <w:rsid w:val="00DF2A72"/>
    <w:rsid w:val="00DF2D8A"/>
    <w:rsid w:val="00DF310C"/>
    <w:rsid w:val="00DF348A"/>
    <w:rsid w:val="00DF38D6"/>
    <w:rsid w:val="00DF3923"/>
    <w:rsid w:val="00DF43BD"/>
    <w:rsid w:val="00DF5917"/>
    <w:rsid w:val="00DF5D01"/>
    <w:rsid w:val="00DF6670"/>
    <w:rsid w:val="00E019D7"/>
    <w:rsid w:val="00E0217D"/>
    <w:rsid w:val="00E02E9C"/>
    <w:rsid w:val="00E03351"/>
    <w:rsid w:val="00E041B3"/>
    <w:rsid w:val="00E042D7"/>
    <w:rsid w:val="00E052DC"/>
    <w:rsid w:val="00E0577F"/>
    <w:rsid w:val="00E05EC3"/>
    <w:rsid w:val="00E0661A"/>
    <w:rsid w:val="00E068A4"/>
    <w:rsid w:val="00E06FE2"/>
    <w:rsid w:val="00E07212"/>
    <w:rsid w:val="00E0758A"/>
    <w:rsid w:val="00E1066F"/>
    <w:rsid w:val="00E1150A"/>
    <w:rsid w:val="00E11B07"/>
    <w:rsid w:val="00E125D4"/>
    <w:rsid w:val="00E139B8"/>
    <w:rsid w:val="00E14624"/>
    <w:rsid w:val="00E14DE5"/>
    <w:rsid w:val="00E1579B"/>
    <w:rsid w:val="00E15F81"/>
    <w:rsid w:val="00E1610F"/>
    <w:rsid w:val="00E167D7"/>
    <w:rsid w:val="00E16B2A"/>
    <w:rsid w:val="00E17141"/>
    <w:rsid w:val="00E171C9"/>
    <w:rsid w:val="00E20153"/>
    <w:rsid w:val="00E20892"/>
    <w:rsid w:val="00E20FA9"/>
    <w:rsid w:val="00E21154"/>
    <w:rsid w:val="00E21616"/>
    <w:rsid w:val="00E2284B"/>
    <w:rsid w:val="00E22D0F"/>
    <w:rsid w:val="00E231CE"/>
    <w:rsid w:val="00E23948"/>
    <w:rsid w:val="00E23ECB"/>
    <w:rsid w:val="00E24CD6"/>
    <w:rsid w:val="00E25459"/>
    <w:rsid w:val="00E25BAD"/>
    <w:rsid w:val="00E2634E"/>
    <w:rsid w:val="00E26F96"/>
    <w:rsid w:val="00E27B65"/>
    <w:rsid w:val="00E30D0B"/>
    <w:rsid w:val="00E30DCA"/>
    <w:rsid w:val="00E30E4A"/>
    <w:rsid w:val="00E3222B"/>
    <w:rsid w:val="00E336BA"/>
    <w:rsid w:val="00E33AC8"/>
    <w:rsid w:val="00E33AFE"/>
    <w:rsid w:val="00E351ED"/>
    <w:rsid w:val="00E3586F"/>
    <w:rsid w:val="00E36454"/>
    <w:rsid w:val="00E37C94"/>
    <w:rsid w:val="00E37E90"/>
    <w:rsid w:val="00E40168"/>
    <w:rsid w:val="00E401FC"/>
    <w:rsid w:val="00E41012"/>
    <w:rsid w:val="00E410EE"/>
    <w:rsid w:val="00E41A34"/>
    <w:rsid w:val="00E42966"/>
    <w:rsid w:val="00E43A06"/>
    <w:rsid w:val="00E43F76"/>
    <w:rsid w:val="00E4472E"/>
    <w:rsid w:val="00E44A20"/>
    <w:rsid w:val="00E44C33"/>
    <w:rsid w:val="00E44EA3"/>
    <w:rsid w:val="00E464C6"/>
    <w:rsid w:val="00E47DFD"/>
    <w:rsid w:val="00E47F1B"/>
    <w:rsid w:val="00E501AE"/>
    <w:rsid w:val="00E5028A"/>
    <w:rsid w:val="00E50FAD"/>
    <w:rsid w:val="00E5107D"/>
    <w:rsid w:val="00E512BD"/>
    <w:rsid w:val="00E525AD"/>
    <w:rsid w:val="00E53AA4"/>
    <w:rsid w:val="00E5485F"/>
    <w:rsid w:val="00E55DA2"/>
    <w:rsid w:val="00E5678D"/>
    <w:rsid w:val="00E57985"/>
    <w:rsid w:val="00E57D05"/>
    <w:rsid w:val="00E57F2D"/>
    <w:rsid w:val="00E60289"/>
    <w:rsid w:val="00E606E1"/>
    <w:rsid w:val="00E60CD2"/>
    <w:rsid w:val="00E62200"/>
    <w:rsid w:val="00E629D2"/>
    <w:rsid w:val="00E62DC2"/>
    <w:rsid w:val="00E64F04"/>
    <w:rsid w:val="00E654E8"/>
    <w:rsid w:val="00E65ACB"/>
    <w:rsid w:val="00E66DA4"/>
    <w:rsid w:val="00E6788E"/>
    <w:rsid w:val="00E67CBA"/>
    <w:rsid w:val="00E70DA8"/>
    <w:rsid w:val="00E71584"/>
    <w:rsid w:val="00E72784"/>
    <w:rsid w:val="00E744B2"/>
    <w:rsid w:val="00E74633"/>
    <w:rsid w:val="00E749C1"/>
    <w:rsid w:val="00E74B77"/>
    <w:rsid w:val="00E757AC"/>
    <w:rsid w:val="00E76657"/>
    <w:rsid w:val="00E768E1"/>
    <w:rsid w:val="00E76BFE"/>
    <w:rsid w:val="00E80205"/>
    <w:rsid w:val="00E809F3"/>
    <w:rsid w:val="00E80A16"/>
    <w:rsid w:val="00E81268"/>
    <w:rsid w:val="00E833FB"/>
    <w:rsid w:val="00E8405C"/>
    <w:rsid w:val="00E84110"/>
    <w:rsid w:val="00E843F7"/>
    <w:rsid w:val="00E847BB"/>
    <w:rsid w:val="00E84F36"/>
    <w:rsid w:val="00E85B12"/>
    <w:rsid w:val="00E86083"/>
    <w:rsid w:val="00E901D9"/>
    <w:rsid w:val="00E9075E"/>
    <w:rsid w:val="00E907E2"/>
    <w:rsid w:val="00E91737"/>
    <w:rsid w:val="00E918B8"/>
    <w:rsid w:val="00E91BA9"/>
    <w:rsid w:val="00E9275D"/>
    <w:rsid w:val="00E92DC6"/>
    <w:rsid w:val="00E93BD8"/>
    <w:rsid w:val="00E943B6"/>
    <w:rsid w:val="00E9468C"/>
    <w:rsid w:val="00E9516C"/>
    <w:rsid w:val="00E95619"/>
    <w:rsid w:val="00E9572C"/>
    <w:rsid w:val="00E968A6"/>
    <w:rsid w:val="00E9717A"/>
    <w:rsid w:val="00E9741E"/>
    <w:rsid w:val="00E975CB"/>
    <w:rsid w:val="00EA119D"/>
    <w:rsid w:val="00EA1A9F"/>
    <w:rsid w:val="00EA2809"/>
    <w:rsid w:val="00EA4196"/>
    <w:rsid w:val="00EA4219"/>
    <w:rsid w:val="00EA44C0"/>
    <w:rsid w:val="00EA4EC0"/>
    <w:rsid w:val="00EA5B48"/>
    <w:rsid w:val="00EA623A"/>
    <w:rsid w:val="00EA645C"/>
    <w:rsid w:val="00EA64CD"/>
    <w:rsid w:val="00EB0450"/>
    <w:rsid w:val="00EB0805"/>
    <w:rsid w:val="00EB2343"/>
    <w:rsid w:val="00EB24D2"/>
    <w:rsid w:val="00EB26B3"/>
    <w:rsid w:val="00EB2B2B"/>
    <w:rsid w:val="00EB2CFB"/>
    <w:rsid w:val="00EB3031"/>
    <w:rsid w:val="00EB31F0"/>
    <w:rsid w:val="00EB3423"/>
    <w:rsid w:val="00EB394E"/>
    <w:rsid w:val="00EB3D75"/>
    <w:rsid w:val="00EB4073"/>
    <w:rsid w:val="00EB4132"/>
    <w:rsid w:val="00EB4C12"/>
    <w:rsid w:val="00EB5644"/>
    <w:rsid w:val="00EB59D1"/>
    <w:rsid w:val="00EB5A04"/>
    <w:rsid w:val="00EB6083"/>
    <w:rsid w:val="00EB6A87"/>
    <w:rsid w:val="00EB7717"/>
    <w:rsid w:val="00EB7E95"/>
    <w:rsid w:val="00EC0036"/>
    <w:rsid w:val="00EC0458"/>
    <w:rsid w:val="00EC05A2"/>
    <w:rsid w:val="00EC1474"/>
    <w:rsid w:val="00EC1478"/>
    <w:rsid w:val="00EC1585"/>
    <w:rsid w:val="00EC1E36"/>
    <w:rsid w:val="00EC34B5"/>
    <w:rsid w:val="00EC3BF1"/>
    <w:rsid w:val="00EC4990"/>
    <w:rsid w:val="00EC4A8A"/>
    <w:rsid w:val="00EC4BB0"/>
    <w:rsid w:val="00EC4D4B"/>
    <w:rsid w:val="00EC6028"/>
    <w:rsid w:val="00EC6310"/>
    <w:rsid w:val="00EC7539"/>
    <w:rsid w:val="00EC756A"/>
    <w:rsid w:val="00EC7F28"/>
    <w:rsid w:val="00ED0575"/>
    <w:rsid w:val="00ED0EF2"/>
    <w:rsid w:val="00ED1101"/>
    <w:rsid w:val="00ED1179"/>
    <w:rsid w:val="00ED263B"/>
    <w:rsid w:val="00ED38F9"/>
    <w:rsid w:val="00ED40A5"/>
    <w:rsid w:val="00ED41D6"/>
    <w:rsid w:val="00ED4D41"/>
    <w:rsid w:val="00ED5297"/>
    <w:rsid w:val="00ED5FE5"/>
    <w:rsid w:val="00ED6463"/>
    <w:rsid w:val="00ED6477"/>
    <w:rsid w:val="00ED69F9"/>
    <w:rsid w:val="00ED69FE"/>
    <w:rsid w:val="00ED7144"/>
    <w:rsid w:val="00EE0121"/>
    <w:rsid w:val="00EE1742"/>
    <w:rsid w:val="00EE1F18"/>
    <w:rsid w:val="00EE395A"/>
    <w:rsid w:val="00EE3C20"/>
    <w:rsid w:val="00EE3FB3"/>
    <w:rsid w:val="00EE40C6"/>
    <w:rsid w:val="00EE43B7"/>
    <w:rsid w:val="00EE4625"/>
    <w:rsid w:val="00EE5355"/>
    <w:rsid w:val="00EE57AE"/>
    <w:rsid w:val="00EF0F3F"/>
    <w:rsid w:val="00EF13E6"/>
    <w:rsid w:val="00EF16BB"/>
    <w:rsid w:val="00EF2DAF"/>
    <w:rsid w:val="00EF2E3B"/>
    <w:rsid w:val="00EF308C"/>
    <w:rsid w:val="00EF4CB7"/>
    <w:rsid w:val="00EF5CE9"/>
    <w:rsid w:val="00EF6195"/>
    <w:rsid w:val="00EF69ED"/>
    <w:rsid w:val="00EF6BAC"/>
    <w:rsid w:val="00F002E2"/>
    <w:rsid w:val="00F03A0E"/>
    <w:rsid w:val="00F0408B"/>
    <w:rsid w:val="00F04578"/>
    <w:rsid w:val="00F04629"/>
    <w:rsid w:val="00F04849"/>
    <w:rsid w:val="00F0600A"/>
    <w:rsid w:val="00F06BDA"/>
    <w:rsid w:val="00F0711D"/>
    <w:rsid w:val="00F07307"/>
    <w:rsid w:val="00F07C16"/>
    <w:rsid w:val="00F127B6"/>
    <w:rsid w:val="00F13296"/>
    <w:rsid w:val="00F137C8"/>
    <w:rsid w:val="00F138A7"/>
    <w:rsid w:val="00F1471C"/>
    <w:rsid w:val="00F175B7"/>
    <w:rsid w:val="00F20493"/>
    <w:rsid w:val="00F20BE1"/>
    <w:rsid w:val="00F21924"/>
    <w:rsid w:val="00F21A9D"/>
    <w:rsid w:val="00F22240"/>
    <w:rsid w:val="00F223E6"/>
    <w:rsid w:val="00F22D3C"/>
    <w:rsid w:val="00F2347F"/>
    <w:rsid w:val="00F23D9E"/>
    <w:rsid w:val="00F25DFD"/>
    <w:rsid w:val="00F2636A"/>
    <w:rsid w:val="00F27060"/>
    <w:rsid w:val="00F2796A"/>
    <w:rsid w:val="00F27BB6"/>
    <w:rsid w:val="00F300D4"/>
    <w:rsid w:val="00F3122C"/>
    <w:rsid w:val="00F320E2"/>
    <w:rsid w:val="00F3230C"/>
    <w:rsid w:val="00F32ECF"/>
    <w:rsid w:val="00F338FC"/>
    <w:rsid w:val="00F33EE7"/>
    <w:rsid w:val="00F347E7"/>
    <w:rsid w:val="00F34A1D"/>
    <w:rsid w:val="00F34AFB"/>
    <w:rsid w:val="00F34C6F"/>
    <w:rsid w:val="00F34DBE"/>
    <w:rsid w:val="00F3577D"/>
    <w:rsid w:val="00F36092"/>
    <w:rsid w:val="00F3619A"/>
    <w:rsid w:val="00F37234"/>
    <w:rsid w:val="00F42F85"/>
    <w:rsid w:val="00F430A3"/>
    <w:rsid w:val="00F431E2"/>
    <w:rsid w:val="00F436B4"/>
    <w:rsid w:val="00F4420F"/>
    <w:rsid w:val="00F443E1"/>
    <w:rsid w:val="00F44884"/>
    <w:rsid w:val="00F44DD0"/>
    <w:rsid w:val="00F45699"/>
    <w:rsid w:val="00F4593D"/>
    <w:rsid w:val="00F45B76"/>
    <w:rsid w:val="00F462ED"/>
    <w:rsid w:val="00F46FB4"/>
    <w:rsid w:val="00F472B3"/>
    <w:rsid w:val="00F479AF"/>
    <w:rsid w:val="00F47D43"/>
    <w:rsid w:val="00F50748"/>
    <w:rsid w:val="00F509A5"/>
    <w:rsid w:val="00F516C2"/>
    <w:rsid w:val="00F5177C"/>
    <w:rsid w:val="00F519B4"/>
    <w:rsid w:val="00F51A23"/>
    <w:rsid w:val="00F51E16"/>
    <w:rsid w:val="00F51FA6"/>
    <w:rsid w:val="00F520A1"/>
    <w:rsid w:val="00F52501"/>
    <w:rsid w:val="00F525AA"/>
    <w:rsid w:val="00F529FE"/>
    <w:rsid w:val="00F52C5B"/>
    <w:rsid w:val="00F52E3C"/>
    <w:rsid w:val="00F53333"/>
    <w:rsid w:val="00F5400D"/>
    <w:rsid w:val="00F54501"/>
    <w:rsid w:val="00F54600"/>
    <w:rsid w:val="00F54917"/>
    <w:rsid w:val="00F55367"/>
    <w:rsid w:val="00F553BD"/>
    <w:rsid w:val="00F55A0F"/>
    <w:rsid w:val="00F56347"/>
    <w:rsid w:val="00F56A0C"/>
    <w:rsid w:val="00F56C7C"/>
    <w:rsid w:val="00F577C3"/>
    <w:rsid w:val="00F57DFB"/>
    <w:rsid w:val="00F57F43"/>
    <w:rsid w:val="00F60780"/>
    <w:rsid w:val="00F6084B"/>
    <w:rsid w:val="00F61B00"/>
    <w:rsid w:val="00F61F86"/>
    <w:rsid w:val="00F628DF"/>
    <w:rsid w:val="00F6296B"/>
    <w:rsid w:val="00F62A68"/>
    <w:rsid w:val="00F62D17"/>
    <w:rsid w:val="00F62DD4"/>
    <w:rsid w:val="00F63BA4"/>
    <w:rsid w:val="00F63D36"/>
    <w:rsid w:val="00F63DA4"/>
    <w:rsid w:val="00F641C0"/>
    <w:rsid w:val="00F64654"/>
    <w:rsid w:val="00F64E10"/>
    <w:rsid w:val="00F65AC4"/>
    <w:rsid w:val="00F66038"/>
    <w:rsid w:val="00F66901"/>
    <w:rsid w:val="00F66B03"/>
    <w:rsid w:val="00F700FD"/>
    <w:rsid w:val="00F718A5"/>
    <w:rsid w:val="00F71E7A"/>
    <w:rsid w:val="00F72427"/>
    <w:rsid w:val="00F72585"/>
    <w:rsid w:val="00F7269D"/>
    <w:rsid w:val="00F727B6"/>
    <w:rsid w:val="00F732CD"/>
    <w:rsid w:val="00F7333A"/>
    <w:rsid w:val="00F73AB2"/>
    <w:rsid w:val="00F74523"/>
    <w:rsid w:val="00F74E94"/>
    <w:rsid w:val="00F74FF2"/>
    <w:rsid w:val="00F75840"/>
    <w:rsid w:val="00F75EA2"/>
    <w:rsid w:val="00F75F94"/>
    <w:rsid w:val="00F77BE7"/>
    <w:rsid w:val="00F8020F"/>
    <w:rsid w:val="00F812FB"/>
    <w:rsid w:val="00F814F0"/>
    <w:rsid w:val="00F81F46"/>
    <w:rsid w:val="00F82CB0"/>
    <w:rsid w:val="00F82DE4"/>
    <w:rsid w:val="00F82ED6"/>
    <w:rsid w:val="00F83041"/>
    <w:rsid w:val="00F836CC"/>
    <w:rsid w:val="00F843D3"/>
    <w:rsid w:val="00F85717"/>
    <w:rsid w:val="00F86B14"/>
    <w:rsid w:val="00F86B7D"/>
    <w:rsid w:val="00F8703A"/>
    <w:rsid w:val="00F870BE"/>
    <w:rsid w:val="00F87599"/>
    <w:rsid w:val="00F90E7A"/>
    <w:rsid w:val="00F9125B"/>
    <w:rsid w:val="00F916CE"/>
    <w:rsid w:val="00F91795"/>
    <w:rsid w:val="00F927B1"/>
    <w:rsid w:val="00F92993"/>
    <w:rsid w:val="00F939C2"/>
    <w:rsid w:val="00F93C2F"/>
    <w:rsid w:val="00F93D56"/>
    <w:rsid w:val="00F94102"/>
    <w:rsid w:val="00F9413E"/>
    <w:rsid w:val="00F952BA"/>
    <w:rsid w:val="00F97162"/>
    <w:rsid w:val="00F97DF6"/>
    <w:rsid w:val="00FA0557"/>
    <w:rsid w:val="00FA0CCF"/>
    <w:rsid w:val="00FA20E8"/>
    <w:rsid w:val="00FA2A94"/>
    <w:rsid w:val="00FA2CD2"/>
    <w:rsid w:val="00FA3058"/>
    <w:rsid w:val="00FA3587"/>
    <w:rsid w:val="00FA3831"/>
    <w:rsid w:val="00FA468F"/>
    <w:rsid w:val="00FA4823"/>
    <w:rsid w:val="00FA53A8"/>
    <w:rsid w:val="00FA5670"/>
    <w:rsid w:val="00FA56E5"/>
    <w:rsid w:val="00FA5EEE"/>
    <w:rsid w:val="00FA65B1"/>
    <w:rsid w:val="00FA669A"/>
    <w:rsid w:val="00FA6DCA"/>
    <w:rsid w:val="00FA7449"/>
    <w:rsid w:val="00FA7DBB"/>
    <w:rsid w:val="00FA7DE4"/>
    <w:rsid w:val="00FA7EA0"/>
    <w:rsid w:val="00FB00EB"/>
    <w:rsid w:val="00FB04C8"/>
    <w:rsid w:val="00FB16E5"/>
    <w:rsid w:val="00FB1798"/>
    <w:rsid w:val="00FB2540"/>
    <w:rsid w:val="00FB3AA2"/>
    <w:rsid w:val="00FB4245"/>
    <w:rsid w:val="00FB4A89"/>
    <w:rsid w:val="00FB50CF"/>
    <w:rsid w:val="00FB5C6C"/>
    <w:rsid w:val="00FB7DB9"/>
    <w:rsid w:val="00FB7E0D"/>
    <w:rsid w:val="00FC0645"/>
    <w:rsid w:val="00FC1116"/>
    <w:rsid w:val="00FC1C79"/>
    <w:rsid w:val="00FC21F6"/>
    <w:rsid w:val="00FC2318"/>
    <w:rsid w:val="00FC2BDC"/>
    <w:rsid w:val="00FC2F31"/>
    <w:rsid w:val="00FC3A1F"/>
    <w:rsid w:val="00FC3E8B"/>
    <w:rsid w:val="00FC446F"/>
    <w:rsid w:val="00FC4700"/>
    <w:rsid w:val="00FC4CB1"/>
    <w:rsid w:val="00FC6321"/>
    <w:rsid w:val="00FC709A"/>
    <w:rsid w:val="00FC7964"/>
    <w:rsid w:val="00FC7CA8"/>
    <w:rsid w:val="00FD06D3"/>
    <w:rsid w:val="00FD0B36"/>
    <w:rsid w:val="00FD0CF9"/>
    <w:rsid w:val="00FD1449"/>
    <w:rsid w:val="00FD2242"/>
    <w:rsid w:val="00FD2BF5"/>
    <w:rsid w:val="00FD3516"/>
    <w:rsid w:val="00FD5F67"/>
    <w:rsid w:val="00FD72DE"/>
    <w:rsid w:val="00FD7C61"/>
    <w:rsid w:val="00FD7C9D"/>
    <w:rsid w:val="00FD7D53"/>
    <w:rsid w:val="00FD7D77"/>
    <w:rsid w:val="00FD7F2B"/>
    <w:rsid w:val="00FE0631"/>
    <w:rsid w:val="00FE1917"/>
    <w:rsid w:val="00FE1B5A"/>
    <w:rsid w:val="00FE1F5C"/>
    <w:rsid w:val="00FE2E25"/>
    <w:rsid w:val="00FE3B93"/>
    <w:rsid w:val="00FE48AA"/>
    <w:rsid w:val="00FE4E36"/>
    <w:rsid w:val="00FE5274"/>
    <w:rsid w:val="00FE52B1"/>
    <w:rsid w:val="00FE5AB6"/>
    <w:rsid w:val="00FE61A9"/>
    <w:rsid w:val="00FE68D9"/>
    <w:rsid w:val="00FE6959"/>
    <w:rsid w:val="00FE79E2"/>
    <w:rsid w:val="00FF0D18"/>
    <w:rsid w:val="00FF160C"/>
    <w:rsid w:val="00FF1F9D"/>
    <w:rsid w:val="00FF27F6"/>
    <w:rsid w:val="00FF3B79"/>
    <w:rsid w:val="00FF3ECB"/>
    <w:rsid w:val="00FF42B9"/>
    <w:rsid w:val="00FF4E4D"/>
    <w:rsid w:val="00FF55E7"/>
    <w:rsid w:val="00FF60CE"/>
    <w:rsid w:val="00FF6199"/>
    <w:rsid w:val="00FF6B55"/>
    <w:rsid w:val="00FF7BA3"/>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05CA977"/>
  <w15:chartTrackingRefBased/>
  <w15:docId w15:val="{E388F1A7-7891-4B34-BA14-A771C17B8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133"/>
  </w:style>
  <w:style w:type="paragraph" w:styleId="Titre1">
    <w:name w:val="heading 1"/>
    <w:aliases w:val="1,Heading 1 Char1 Char,Heading 1 Char Char Char,Heading 1 Char1 Char Char Char,Heading 1 Char Char Char Char Char,Heading 1 Char1 Char Char Char Char Char,Heading 1 Char Char Char Char Char Char Char,Heading 1 Char1 Char1"/>
    <w:basedOn w:val="Normal"/>
    <w:next w:val="Normal"/>
    <w:link w:val="Titre1Car"/>
    <w:uiPriority w:val="9"/>
    <w:qFormat/>
    <w:rsid w:val="0034332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000D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BC222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link w:val="Titre4Car"/>
    <w:uiPriority w:val="9"/>
    <w:qFormat/>
    <w:rsid w:val="00F431E2"/>
    <w:pPr>
      <w:spacing w:before="100" w:beforeAutospacing="1" w:after="100" w:afterAutospacing="1" w:line="240" w:lineRule="auto"/>
      <w:outlineLvl w:val="3"/>
    </w:pPr>
    <w:rPr>
      <w:rFonts w:ascii="Times New Roman" w:eastAsia="Times New Roman" w:hAnsi="Times New Roman" w:cs="Times New Roman"/>
      <w:b/>
      <w:bCs/>
      <w:kern w:val="0"/>
      <w:sz w:val="24"/>
      <w:szCs w:val="24"/>
      <w:lang w:eastAsia="fr-FR"/>
    </w:rPr>
  </w:style>
  <w:style w:type="paragraph" w:styleId="Titre5">
    <w:name w:val="heading 5"/>
    <w:basedOn w:val="Normal"/>
    <w:next w:val="Normal"/>
    <w:link w:val="Titre5Car"/>
    <w:uiPriority w:val="9"/>
    <w:unhideWhenUsed/>
    <w:qFormat/>
    <w:rsid w:val="0030395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E019D7"/>
    <w:pPr>
      <w:spacing w:before="100" w:beforeAutospacing="1" w:after="100" w:afterAutospacing="1" w:line="240" w:lineRule="auto"/>
    </w:pPr>
    <w:rPr>
      <w:rFonts w:ascii="Times New Roman" w:eastAsia="Times New Roman" w:hAnsi="Times New Roman" w:cs="Times New Roman"/>
      <w:kern w:val="0"/>
      <w:sz w:val="24"/>
      <w:szCs w:val="24"/>
      <w:lang w:eastAsia="fr-FR"/>
    </w:rPr>
  </w:style>
  <w:style w:type="character" w:styleId="lev">
    <w:name w:val="Strong"/>
    <w:basedOn w:val="Policepardfaut"/>
    <w:uiPriority w:val="22"/>
    <w:qFormat/>
    <w:rsid w:val="00E019D7"/>
    <w:rPr>
      <w:b/>
      <w:bCs/>
    </w:rPr>
  </w:style>
  <w:style w:type="paragraph" w:styleId="Paragraphedeliste">
    <w:name w:val="List Paragraph"/>
    <w:aliases w:val="Bullets,Liste 1,Aufzählung Spiegelstrich,Dot pt,F5 List Paragraph,Colorful List - Accent 11,List Paragraph Char Char Char,Indicator Text,Numbered Para 1,Bullet 1,Bullet Points,List Paragraph2,MAIN CONTENT,Titre1,References,WB Para,Ha"/>
    <w:basedOn w:val="Normal"/>
    <w:link w:val="ParagraphedelisteCar"/>
    <w:uiPriority w:val="34"/>
    <w:qFormat/>
    <w:rsid w:val="0005216F"/>
    <w:pPr>
      <w:ind w:left="720"/>
      <w:contextualSpacing/>
    </w:pPr>
  </w:style>
  <w:style w:type="character" w:styleId="Marquedecommentaire">
    <w:name w:val="annotation reference"/>
    <w:basedOn w:val="Policepardfaut"/>
    <w:uiPriority w:val="99"/>
    <w:semiHidden/>
    <w:unhideWhenUsed/>
    <w:rsid w:val="001675FF"/>
    <w:rPr>
      <w:sz w:val="16"/>
      <w:szCs w:val="16"/>
    </w:rPr>
  </w:style>
  <w:style w:type="paragraph" w:styleId="Commentaire">
    <w:name w:val="annotation text"/>
    <w:basedOn w:val="Normal"/>
    <w:link w:val="CommentaireCar"/>
    <w:uiPriority w:val="99"/>
    <w:unhideWhenUsed/>
    <w:rsid w:val="001675FF"/>
    <w:pPr>
      <w:spacing w:line="240" w:lineRule="auto"/>
    </w:pPr>
    <w:rPr>
      <w:sz w:val="20"/>
      <w:szCs w:val="20"/>
    </w:rPr>
  </w:style>
  <w:style w:type="character" w:customStyle="1" w:styleId="CommentaireCar">
    <w:name w:val="Commentaire Car"/>
    <w:basedOn w:val="Policepardfaut"/>
    <w:link w:val="Commentaire"/>
    <w:uiPriority w:val="99"/>
    <w:rsid w:val="001675FF"/>
    <w:rPr>
      <w:sz w:val="20"/>
      <w:szCs w:val="20"/>
    </w:rPr>
  </w:style>
  <w:style w:type="paragraph" w:styleId="Objetducommentaire">
    <w:name w:val="annotation subject"/>
    <w:basedOn w:val="Commentaire"/>
    <w:next w:val="Commentaire"/>
    <w:link w:val="ObjetducommentaireCar"/>
    <w:uiPriority w:val="99"/>
    <w:semiHidden/>
    <w:unhideWhenUsed/>
    <w:rsid w:val="001675FF"/>
    <w:rPr>
      <w:b/>
      <w:bCs/>
    </w:rPr>
  </w:style>
  <w:style w:type="character" w:customStyle="1" w:styleId="ObjetducommentaireCar">
    <w:name w:val="Objet du commentaire Car"/>
    <w:basedOn w:val="CommentaireCar"/>
    <w:link w:val="Objetducommentaire"/>
    <w:uiPriority w:val="99"/>
    <w:semiHidden/>
    <w:rsid w:val="001675FF"/>
    <w:rPr>
      <w:b/>
      <w:bCs/>
      <w:sz w:val="20"/>
      <w:szCs w:val="20"/>
    </w:rPr>
  </w:style>
  <w:style w:type="character" w:customStyle="1" w:styleId="Titre4Car">
    <w:name w:val="Titre 4 Car"/>
    <w:basedOn w:val="Policepardfaut"/>
    <w:link w:val="Titre4"/>
    <w:uiPriority w:val="9"/>
    <w:rsid w:val="00F431E2"/>
    <w:rPr>
      <w:rFonts w:ascii="Times New Roman" w:eastAsia="Times New Roman" w:hAnsi="Times New Roman" w:cs="Times New Roman"/>
      <w:b/>
      <w:bCs/>
      <w:kern w:val="0"/>
      <w:sz w:val="24"/>
      <w:szCs w:val="24"/>
      <w:lang w:eastAsia="fr-FR"/>
    </w:rPr>
  </w:style>
  <w:style w:type="paragraph" w:styleId="En-tte">
    <w:name w:val="header"/>
    <w:basedOn w:val="Normal"/>
    <w:link w:val="En-tteCar"/>
    <w:uiPriority w:val="99"/>
    <w:unhideWhenUsed/>
    <w:rsid w:val="006F1008"/>
    <w:pPr>
      <w:tabs>
        <w:tab w:val="center" w:pos="4536"/>
        <w:tab w:val="right" w:pos="9072"/>
      </w:tabs>
      <w:spacing w:after="0" w:line="240" w:lineRule="auto"/>
    </w:pPr>
  </w:style>
  <w:style w:type="character" w:customStyle="1" w:styleId="En-tteCar">
    <w:name w:val="En-tête Car"/>
    <w:basedOn w:val="Policepardfaut"/>
    <w:link w:val="En-tte"/>
    <w:uiPriority w:val="99"/>
    <w:rsid w:val="006F1008"/>
  </w:style>
  <w:style w:type="paragraph" w:styleId="Pieddepage">
    <w:name w:val="footer"/>
    <w:basedOn w:val="Normal"/>
    <w:link w:val="PieddepageCar"/>
    <w:uiPriority w:val="99"/>
    <w:unhideWhenUsed/>
    <w:rsid w:val="006F100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F1008"/>
  </w:style>
  <w:style w:type="character" w:customStyle="1" w:styleId="Titre3Car">
    <w:name w:val="Titre 3 Car"/>
    <w:basedOn w:val="Policepardfaut"/>
    <w:link w:val="Titre3"/>
    <w:uiPriority w:val="9"/>
    <w:rsid w:val="00BC2222"/>
    <w:rPr>
      <w:rFonts w:asciiTheme="majorHAnsi" w:eastAsiaTheme="majorEastAsia" w:hAnsiTheme="majorHAnsi" w:cstheme="majorBidi"/>
      <w:color w:val="1F3763" w:themeColor="accent1" w:themeShade="7F"/>
      <w:sz w:val="24"/>
      <w:szCs w:val="24"/>
    </w:rPr>
  </w:style>
  <w:style w:type="character" w:styleId="Accentuation">
    <w:name w:val="Emphasis"/>
    <w:basedOn w:val="Policepardfaut"/>
    <w:uiPriority w:val="20"/>
    <w:qFormat/>
    <w:rsid w:val="00D6452C"/>
    <w:rPr>
      <w:i/>
      <w:iCs/>
    </w:rPr>
  </w:style>
  <w:style w:type="character" w:styleId="Lienhypertexte">
    <w:name w:val="Hyperlink"/>
    <w:basedOn w:val="Policepardfaut"/>
    <w:uiPriority w:val="99"/>
    <w:unhideWhenUsed/>
    <w:rsid w:val="00583A1D"/>
    <w:rPr>
      <w:color w:val="0000FF"/>
      <w:u w:val="single"/>
    </w:rPr>
  </w:style>
  <w:style w:type="character" w:customStyle="1" w:styleId="Titre2Car">
    <w:name w:val="Titre 2 Car"/>
    <w:basedOn w:val="Policepardfaut"/>
    <w:link w:val="Titre2"/>
    <w:uiPriority w:val="9"/>
    <w:rsid w:val="00000D89"/>
    <w:rPr>
      <w:rFonts w:asciiTheme="majorHAnsi" w:eastAsiaTheme="majorEastAsia" w:hAnsiTheme="majorHAnsi" w:cstheme="majorBidi"/>
      <w:color w:val="2F5496" w:themeColor="accent1" w:themeShade="BF"/>
      <w:sz w:val="26"/>
      <w:szCs w:val="26"/>
    </w:rPr>
  </w:style>
  <w:style w:type="character" w:customStyle="1" w:styleId="Titre1Car">
    <w:name w:val="Titre 1 Car"/>
    <w:aliases w:val="1 Car,Heading 1 Char1 Char Car,Heading 1 Char Char Char Car,Heading 1 Char1 Char Char Char Car,Heading 1 Char Char Char Char Char Car,Heading 1 Char1 Char Char Char Char Char Car,Heading 1 Char Char Char Char Char Char Char Car"/>
    <w:basedOn w:val="Policepardfaut"/>
    <w:link w:val="Titre1"/>
    <w:uiPriority w:val="9"/>
    <w:rsid w:val="0034332A"/>
    <w:rPr>
      <w:rFonts w:asciiTheme="majorHAnsi" w:eastAsiaTheme="majorEastAsia" w:hAnsiTheme="majorHAnsi" w:cstheme="majorBidi"/>
      <w:color w:val="2F5496" w:themeColor="accent1" w:themeShade="BF"/>
      <w:sz w:val="32"/>
      <w:szCs w:val="32"/>
    </w:rPr>
  </w:style>
  <w:style w:type="paragraph" w:styleId="z-Hautduformulaire">
    <w:name w:val="HTML Top of Form"/>
    <w:basedOn w:val="Normal"/>
    <w:next w:val="Normal"/>
    <w:link w:val="z-HautduformulaireCar"/>
    <w:hidden/>
    <w:uiPriority w:val="99"/>
    <w:semiHidden/>
    <w:unhideWhenUsed/>
    <w:rsid w:val="00505B4B"/>
    <w:pPr>
      <w:pBdr>
        <w:bottom w:val="single" w:sz="6" w:space="1" w:color="auto"/>
      </w:pBdr>
      <w:spacing w:after="0" w:line="240" w:lineRule="auto"/>
      <w:jc w:val="center"/>
    </w:pPr>
    <w:rPr>
      <w:rFonts w:ascii="Arial" w:eastAsia="Times New Roman" w:hAnsi="Arial" w:cs="Arial"/>
      <w:vanish/>
      <w:kern w:val="0"/>
      <w:sz w:val="16"/>
      <w:szCs w:val="16"/>
      <w:lang w:eastAsia="fr-FR"/>
    </w:rPr>
  </w:style>
  <w:style w:type="character" w:customStyle="1" w:styleId="z-HautduformulaireCar">
    <w:name w:val="z-Haut du formulaire Car"/>
    <w:basedOn w:val="Policepardfaut"/>
    <w:link w:val="z-Hautduformulaire"/>
    <w:uiPriority w:val="99"/>
    <w:semiHidden/>
    <w:rsid w:val="00505B4B"/>
    <w:rPr>
      <w:rFonts w:ascii="Arial" w:eastAsia="Times New Roman" w:hAnsi="Arial" w:cs="Arial"/>
      <w:vanish/>
      <w:kern w:val="0"/>
      <w:sz w:val="16"/>
      <w:szCs w:val="16"/>
      <w:lang w:eastAsia="fr-FR"/>
    </w:rPr>
  </w:style>
  <w:style w:type="table" w:styleId="Grilledutableau">
    <w:name w:val="Table Grid"/>
    <w:basedOn w:val="TableauNormal"/>
    <w:uiPriority w:val="39"/>
    <w:rsid w:val="003470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next w:val="Normal"/>
    <w:link w:val="TitreCar"/>
    <w:uiPriority w:val="1"/>
    <w:qFormat/>
    <w:rsid w:val="00FD0CF9"/>
    <w:pPr>
      <w:spacing w:after="240" w:line="240" w:lineRule="auto"/>
      <w:jc w:val="both"/>
    </w:pPr>
    <w:rPr>
      <w:rFonts w:ascii="Arial" w:eastAsia="Times New Roman" w:hAnsi="Arial" w:cs="Arial"/>
      <w:b/>
      <w:bCs/>
      <w:kern w:val="28"/>
      <w:sz w:val="24"/>
      <w:szCs w:val="24"/>
      <w:lang w:val="en-GB"/>
    </w:rPr>
  </w:style>
  <w:style w:type="character" w:customStyle="1" w:styleId="TitreCar">
    <w:name w:val="Titre Car"/>
    <w:basedOn w:val="Policepardfaut"/>
    <w:link w:val="Titre"/>
    <w:uiPriority w:val="1"/>
    <w:rsid w:val="00FD0CF9"/>
    <w:rPr>
      <w:rFonts w:ascii="Arial" w:eastAsia="Times New Roman" w:hAnsi="Arial" w:cs="Arial"/>
      <w:b/>
      <w:bCs/>
      <w:kern w:val="28"/>
      <w:sz w:val="24"/>
      <w:szCs w:val="24"/>
      <w:lang w:val="en-GB"/>
    </w:rPr>
  </w:style>
  <w:style w:type="paragraph" w:styleId="TM1">
    <w:name w:val="toc 1"/>
    <w:aliases w:val="TM"/>
    <w:basedOn w:val="Normal"/>
    <w:next w:val="Normal"/>
    <w:autoRedefine/>
    <w:uiPriority w:val="39"/>
    <w:unhideWhenUsed/>
    <w:qFormat/>
    <w:rsid w:val="001E04E7"/>
    <w:pPr>
      <w:tabs>
        <w:tab w:val="left" w:pos="426"/>
        <w:tab w:val="right" w:leader="dot" w:pos="9338"/>
      </w:tabs>
      <w:spacing w:after="120" w:line="240" w:lineRule="auto"/>
    </w:pPr>
    <w:rPr>
      <w:rFonts w:ascii="Trebuchet MS" w:hAnsi="Trebuchet MS" w:cs="Calibri (Corps)"/>
      <w:b/>
      <w:bCs/>
      <w:caps/>
      <w:noProof/>
      <w:kern w:val="0"/>
      <w:sz w:val="20"/>
      <w:szCs w:val="20"/>
    </w:rPr>
  </w:style>
  <w:style w:type="paragraph" w:styleId="TM2">
    <w:name w:val="toc 2"/>
    <w:basedOn w:val="Normal"/>
    <w:next w:val="Normal"/>
    <w:autoRedefine/>
    <w:uiPriority w:val="39"/>
    <w:unhideWhenUsed/>
    <w:rsid w:val="00103ABD"/>
    <w:pPr>
      <w:spacing w:after="100"/>
      <w:ind w:left="220"/>
    </w:pPr>
  </w:style>
  <w:style w:type="character" w:styleId="Numrodepage">
    <w:name w:val="page number"/>
    <w:basedOn w:val="Policepardfaut"/>
    <w:uiPriority w:val="99"/>
    <w:unhideWhenUsed/>
    <w:rsid w:val="00FB04C8"/>
  </w:style>
  <w:style w:type="paragraph" w:customStyle="1" w:styleId="Default">
    <w:name w:val="Default"/>
    <w:rsid w:val="00944681"/>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Mentionnonrsolue">
    <w:name w:val="Unresolved Mention"/>
    <w:basedOn w:val="Policepardfaut"/>
    <w:uiPriority w:val="99"/>
    <w:semiHidden/>
    <w:unhideWhenUsed/>
    <w:rsid w:val="00E6788E"/>
    <w:rPr>
      <w:color w:val="605E5C"/>
      <w:shd w:val="clear" w:color="auto" w:fill="E1DFDD"/>
    </w:rPr>
  </w:style>
  <w:style w:type="character" w:customStyle="1" w:styleId="Titre5Car">
    <w:name w:val="Titre 5 Car"/>
    <w:basedOn w:val="Policepardfaut"/>
    <w:link w:val="Titre5"/>
    <w:uiPriority w:val="9"/>
    <w:rsid w:val="0030395C"/>
    <w:rPr>
      <w:rFonts w:asciiTheme="majorHAnsi" w:eastAsiaTheme="majorEastAsia" w:hAnsiTheme="majorHAnsi" w:cstheme="majorBidi"/>
      <w:color w:val="2F5496" w:themeColor="accent1" w:themeShade="BF"/>
    </w:rPr>
  </w:style>
  <w:style w:type="character" w:customStyle="1" w:styleId="ParagraphedelisteCar">
    <w:name w:val="Paragraphe de liste Car"/>
    <w:aliases w:val="Bullets Car,Liste 1 Car,Aufzählung Spiegelstrich Car,Dot pt Car,F5 List Paragraph Car,Colorful List - Accent 11 Car,List Paragraph Char Char Char Car,Indicator Text Car,Numbered Para 1 Car,Bullet 1 Car,Bullet Points Car,Ha Car"/>
    <w:link w:val="Paragraphedeliste"/>
    <w:uiPriority w:val="34"/>
    <w:qFormat/>
    <w:rsid w:val="00651262"/>
  </w:style>
  <w:style w:type="paragraph" w:styleId="Lgende">
    <w:name w:val="caption"/>
    <w:basedOn w:val="Normal"/>
    <w:next w:val="Normal"/>
    <w:unhideWhenUsed/>
    <w:qFormat/>
    <w:rsid w:val="00651262"/>
    <w:pPr>
      <w:spacing w:after="200" w:line="240" w:lineRule="auto"/>
    </w:pPr>
    <w:rPr>
      <w:rFonts w:ascii="Times New Roman" w:eastAsia="Times New Roman" w:hAnsi="Times New Roman" w:cs="Times New Roman"/>
      <w:i/>
      <w:iCs/>
      <w:color w:val="44546A" w:themeColor="text2"/>
      <w:kern w:val="0"/>
      <w:sz w:val="18"/>
      <w:szCs w:val="18"/>
      <w:lang w:eastAsia="en-GB"/>
    </w:rPr>
  </w:style>
  <w:style w:type="paragraph" w:styleId="Rvision">
    <w:name w:val="Revision"/>
    <w:hidden/>
    <w:uiPriority w:val="99"/>
    <w:semiHidden/>
    <w:rsid w:val="00B32915"/>
    <w:pPr>
      <w:spacing w:after="0" w:line="240" w:lineRule="auto"/>
    </w:pPr>
  </w:style>
  <w:style w:type="character" w:styleId="Lienhypertextesuivivisit">
    <w:name w:val="FollowedHyperlink"/>
    <w:basedOn w:val="Policepardfaut"/>
    <w:uiPriority w:val="99"/>
    <w:semiHidden/>
    <w:unhideWhenUsed/>
    <w:rsid w:val="00123B04"/>
    <w:rPr>
      <w:color w:val="954F72" w:themeColor="followedHyperlink"/>
      <w:u w:val="single"/>
    </w:rPr>
  </w:style>
  <w:style w:type="paragraph" w:styleId="Notedebasdepage">
    <w:name w:val="footnote text"/>
    <w:aliases w:val="FOOTNOTES,fn,single space,footnote text,Char Char Char,Char Char,Footnote Text Char1,Footnote Text Char2 Char,Footnote Text Char1 Char Char,Footnote Text Char2 Char Char Char,Footnote Text Char1 Char Char Char Char,tex"/>
    <w:basedOn w:val="Normal"/>
    <w:link w:val="NotedebasdepageCar"/>
    <w:uiPriority w:val="99"/>
    <w:unhideWhenUsed/>
    <w:qFormat/>
    <w:rsid w:val="00C023C7"/>
    <w:pPr>
      <w:spacing w:after="0" w:line="240" w:lineRule="auto"/>
    </w:pPr>
    <w:rPr>
      <w:kern w:val="0"/>
      <w:sz w:val="20"/>
      <w:szCs w:val="20"/>
    </w:rPr>
  </w:style>
  <w:style w:type="character" w:customStyle="1" w:styleId="NotedebasdepageCar">
    <w:name w:val="Note de bas de page Car"/>
    <w:aliases w:val="FOOTNOTES Car,fn Car,single space Car,footnote text Car,Char Char Char Car,Char Char Car,Footnote Text Char1 Car,Footnote Text Char2 Char Car,Footnote Text Char1 Char Char Car,Footnote Text Char2 Char Char Char Car,tex Car"/>
    <w:basedOn w:val="Policepardfaut"/>
    <w:link w:val="Notedebasdepage"/>
    <w:uiPriority w:val="99"/>
    <w:rsid w:val="00C023C7"/>
    <w:rPr>
      <w:kern w:val="0"/>
      <w:sz w:val="20"/>
      <w:szCs w:val="20"/>
    </w:rPr>
  </w:style>
  <w:style w:type="character" w:styleId="Appelnotedebasdep">
    <w:name w:val="footnote reference"/>
    <w:aliases w:val="Error-Fußnotenzeichen5,Error-Fußnotenzeichen6,Error-Fußnotenzeichen3,Estilo de nota al pie de Africa,Footnote Reference1,ftref,Footnote Reference Number,referencia nota al pie,Char Char Char Char Car Char,Ref,de nota al pie"/>
    <w:basedOn w:val="Policepardfaut"/>
    <w:uiPriority w:val="99"/>
    <w:unhideWhenUsed/>
    <w:rsid w:val="00C023C7"/>
    <w:rPr>
      <w:vertAlign w:val="superscript"/>
    </w:rPr>
  </w:style>
  <w:style w:type="character" w:customStyle="1" w:styleId="cf01">
    <w:name w:val="cf01"/>
    <w:basedOn w:val="Policepardfaut"/>
    <w:rsid w:val="002E18C2"/>
    <w:rPr>
      <w:rFonts w:ascii="Segoe UI" w:hAnsi="Segoe UI" w:cs="Segoe UI" w:hint="default"/>
      <w:sz w:val="18"/>
      <w:szCs w:val="18"/>
    </w:rPr>
  </w:style>
  <w:style w:type="paragraph" w:customStyle="1" w:styleId="pf0">
    <w:name w:val="pf0"/>
    <w:basedOn w:val="Normal"/>
    <w:rsid w:val="00BF6FF9"/>
    <w:pPr>
      <w:spacing w:before="100" w:beforeAutospacing="1" w:after="100" w:afterAutospacing="1" w:line="240" w:lineRule="auto"/>
    </w:pPr>
    <w:rPr>
      <w:rFonts w:ascii="Times New Roman" w:eastAsia="Times New Roman" w:hAnsi="Times New Roman" w:cs="Times New Roman"/>
      <w:kern w:val="0"/>
      <w:sz w:val="24"/>
      <w:szCs w:val="24"/>
      <w:lang w:eastAsia="fr-FR"/>
    </w:rPr>
  </w:style>
  <w:style w:type="character" w:customStyle="1" w:styleId="cf11">
    <w:name w:val="cf11"/>
    <w:basedOn w:val="Policepardfaut"/>
    <w:rsid w:val="00BF6FF9"/>
    <w:rPr>
      <w:rFonts w:ascii="Segoe UI" w:hAnsi="Segoe UI" w:cs="Segoe UI" w:hint="default"/>
      <w:sz w:val="18"/>
      <w:szCs w:val="18"/>
      <w:vertAlign w:val="superscript"/>
    </w:rPr>
  </w:style>
  <w:style w:type="paragraph" w:styleId="Listepuces">
    <w:name w:val="List Bullet"/>
    <w:basedOn w:val="Normal"/>
    <w:uiPriority w:val="99"/>
    <w:unhideWhenUsed/>
    <w:rsid w:val="00244C6A"/>
    <w:pPr>
      <w:numPr>
        <w:numId w:val="108"/>
      </w:numPr>
      <w:spacing w:after="200" w:line="276" w:lineRule="auto"/>
      <w:contextualSpacing/>
    </w:pPr>
    <w:rPr>
      <w:rFonts w:eastAsiaTheme="minorEastAsia"/>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0665">
      <w:bodyDiv w:val="1"/>
      <w:marLeft w:val="0"/>
      <w:marRight w:val="0"/>
      <w:marTop w:val="0"/>
      <w:marBottom w:val="0"/>
      <w:divBdr>
        <w:top w:val="none" w:sz="0" w:space="0" w:color="auto"/>
        <w:left w:val="none" w:sz="0" w:space="0" w:color="auto"/>
        <w:bottom w:val="none" w:sz="0" w:space="0" w:color="auto"/>
        <w:right w:val="none" w:sz="0" w:space="0" w:color="auto"/>
      </w:divBdr>
    </w:div>
    <w:div w:id="23752232">
      <w:bodyDiv w:val="1"/>
      <w:marLeft w:val="0"/>
      <w:marRight w:val="0"/>
      <w:marTop w:val="0"/>
      <w:marBottom w:val="0"/>
      <w:divBdr>
        <w:top w:val="none" w:sz="0" w:space="0" w:color="auto"/>
        <w:left w:val="none" w:sz="0" w:space="0" w:color="auto"/>
        <w:bottom w:val="none" w:sz="0" w:space="0" w:color="auto"/>
        <w:right w:val="none" w:sz="0" w:space="0" w:color="auto"/>
      </w:divBdr>
    </w:div>
    <w:div w:id="34694417">
      <w:bodyDiv w:val="1"/>
      <w:marLeft w:val="0"/>
      <w:marRight w:val="0"/>
      <w:marTop w:val="0"/>
      <w:marBottom w:val="0"/>
      <w:divBdr>
        <w:top w:val="none" w:sz="0" w:space="0" w:color="auto"/>
        <w:left w:val="none" w:sz="0" w:space="0" w:color="auto"/>
        <w:bottom w:val="none" w:sz="0" w:space="0" w:color="auto"/>
        <w:right w:val="none" w:sz="0" w:space="0" w:color="auto"/>
      </w:divBdr>
    </w:div>
    <w:div w:id="39474326">
      <w:bodyDiv w:val="1"/>
      <w:marLeft w:val="0"/>
      <w:marRight w:val="0"/>
      <w:marTop w:val="0"/>
      <w:marBottom w:val="0"/>
      <w:divBdr>
        <w:top w:val="none" w:sz="0" w:space="0" w:color="auto"/>
        <w:left w:val="none" w:sz="0" w:space="0" w:color="auto"/>
        <w:bottom w:val="none" w:sz="0" w:space="0" w:color="auto"/>
        <w:right w:val="none" w:sz="0" w:space="0" w:color="auto"/>
      </w:divBdr>
    </w:div>
    <w:div w:id="66272473">
      <w:bodyDiv w:val="1"/>
      <w:marLeft w:val="0"/>
      <w:marRight w:val="0"/>
      <w:marTop w:val="0"/>
      <w:marBottom w:val="0"/>
      <w:divBdr>
        <w:top w:val="none" w:sz="0" w:space="0" w:color="auto"/>
        <w:left w:val="none" w:sz="0" w:space="0" w:color="auto"/>
        <w:bottom w:val="none" w:sz="0" w:space="0" w:color="auto"/>
        <w:right w:val="none" w:sz="0" w:space="0" w:color="auto"/>
      </w:divBdr>
    </w:div>
    <w:div w:id="79105220">
      <w:bodyDiv w:val="1"/>
      <w:marLeft w:val="0"/>
      <w:marRight w:val="0"/>
      <w:marTop w:val="0"/>
      <w:marBottom w:val="0"/>
      <w:divBdr>
        <w:top w:val="none" w:sz="0" w:space="0" w:color="auto"/>
        <w:left w:val="none" w:sz="0" w:space="0" w:color="auto"/>
        <w:bottom w:val="none" w:sz="0" w:space="0" w:color="auto"/>
        <w:right w:val="none" w:sz="0" w:space="0" w:color="auto"/>
      </w:divBdr>
    </w:div>
    <w:div w:id="113719262">
      <w:bodyDiv w:val="1"/>
      <w:marLeft w:val="0"/>
      <w:marRight w:val="0"/>
      <w:marTop w:val="0"/>
      <w:marBottom w:val="0"/>
      <w:divBdr>
        <w:top w:val="none" w:sz="0" w:space="0" w:color="auto"/>
        <w:left w:val="none" w:sz="0" w:space="0" w:color="auto"/>
        <w:bottom w:val="none" w:sz="0" w:space="0" w:color="auto"/>
        <w:right w:val="none" w:sz="0" w:space="0" w:color="auto"/>
      </w:divBdr>
    </w:div>
    <w:div w:id="124088005">
      <w:bodyDiv w:val="1"/>
      <w:marLeft w:val="0"/>
      <w:marRight w:val="0"/>
      <w:marTop w:val="0"/>
      <w:marBottom w:val="0"/>
      <w:divBdr>
        <w:top w:val="none" w:sz="0" w:space="0" w:color="auto"/>
        <w:left w:val="none" w:sz="0" w:space="0" w:color="auto"/>
        <w:bottom w:val="none" w:sz="0" w:space="0" w:color="auto"/>
        <w:right w:val="none" w:sz="0" w:space="0" w:color="auto"/>
      </w:divBdr>
    </w:div>
    <w:div w:id="125122288">
      <w:bodyDiv w:val="1"/>
      <w:marLeft w:val="0"/>
      <w:marRight w:val="0"/>
      <w:marTop w:val="0"/>
      <w:marBottom w:val="0"/>
      <w:divBdr>
        <w:top w:val="none" w:sz="0" w:space="0" w:color="auto"/>
        <w:left w:val="none" w:sz="0" w:space="0" w:color="auto"/>
        <w:bottom w:val="none" w:sz="0" w:space="0" w:color="auto"/>
        <w:right w:val="none" w:sz="0" w:space="0" w:color="auto"/>
      </w:divBdr>
    </w:div>
    <w:div w:id="134839534">
      <w:bodyDiv w:val="1"/>
      <w:marLeft w:val="0"/>
      <w:marRight w:val="0"/>
      <w:marTop w:val="0"/>
      <w:marBottom w:val="0"/>
      <w:divBdr>
        <w:top w:val="none" w:sz="0" w:space="0" w:color="auto"/>
        <w:left w:val="none" w:sz="0" w:space="0" w:color="auto"/>
        <w:bottom w:val="none" w:sz="0" w:space="0" w:color="auto"/>
        <w:right w:val="none" w:sz="0" w:space="0" w:color="auto"/>
      </w:divBdr>
    </w:div>
    <w:div w:id="146677171">
      <w:bodyDiv w:val="1"/>
      <w:marLeft w:val="0"/>
      <w:marRight w:val="0"/>
      <w:marTop w:val="0"/>
      <w:marBottom w:val="0"/>
      <w:divBdr>
        <w:top w:val="none" w:sz="0" w:space="0" w:color="auto"/>
        <w:left w:val="none" w:sz="0" w:space="0" w:color="auto"/>
        <w:bottom w:val="none" w:sz="0" w:space="0" w:color="auto"/>
        <w:right w:val="none" w:sz="0" w:space="0" w:color="auto"/>
      </w:divBdr>
    </w:div>
    <w:div w:id="164325558">
      <w:bodyDiv w:val="1"/>
      <w:marLeft w:val="0"/>
      <w:marRight w:val="0"/>
      <w:marTop w:val="0"/>
      <w:marBottom w:val="0"/>
      <w:divBdr>
        <w:top w:val="none" w:sz="0" w:space="0" w:color="auto"/>
        <w:left w:val="none" w:sz="0" w:space="0" w:color="auto"/>
        <w:bottom w:val="none" w:sz="0" w:space="0" w:color="auto"/>
        <w:right w:val="none" w:sz="0" w:space="0" w:color="auto"/>
      </w:divBdr>
    </w:div>
    <w:div w:id="166940209">
      <w:bodyDiv w:val="1"/>
      <w:marLeft w:val="0"/>
      <w:marRight w:val="0"/>
      <w:marTop w:val="0"/>
      <w:marBottom w:val="0"/>
      <w:divBdr>
        <w:top w:val="none" w:sz="0" w:space="0" w:color="auto"/>
        <w:left w:val="none" w:sz="0" w:space="0" w:color="auto"/>
        <w:bottom w:val="none" w:sz="0" w:space="0" w:color="auto"/>
        <w:right w:val="none" w:sz="0" w:space="0" w:color="auto"/>
      </w:divBdr>
    </w:div>
    <w:div w:id="180513820">
      <w:bodyDiv w:val="1"/>
      <w:marLeft w:val="0"/>
      <w:marRight w:val="0"/>
      <w:marTop w:val="0"/>
      <w:marBottom w:val="0"/>
      <w:divBdr>
        <w:top w:val="none" w:sz="0" w:space="0" w:color="auto"/>
        <w:left w:val="none" w:sz="0" w:space="0" w:color="auto"/>
        <w:bottom w:val="none" w:sz="0" w:space="0" w:color="auto"/>
        <w:right w:val="none" w:sz="0" w:space="0" w:color="auto"/>
      </w:divBdr>
    </w:div>
    <w:div w:id="191771715">
      <w:bodyDiv w:val="1"/>
      <w:marLeft w:val="0"/>
      <w:marRight w:val="0"/>
      <w:marTop w:val="0"/>
      <w:marBottom w:val="0"/>
      <w:divBdr>
        <w:top w:val="none" w:sz="0" w:space="0" w:color="auto"/>
        <w:left w:val="none" w:sz="0" w:space="0" w:color="auto"/>
        <w:bottom w:val="none" w:sz="0" w:space="0" w:color="auto"/>
        <w:right w:val="none" w:sz="0" w:space="0" w:color="auto"/>
      </w:divBdr>
    </w:div>
    <w:div w:id="200749045">
      <w:bodyDiv w:val="1"/>
      <w:marLeft w:val="0"/>
      <w:marRight w:val="0"/>
      <w:marTop w:val="0"/>
      <w:marBottom w:val="0"/>
      <w:divBdr>
        <w:top w:val="none" w:sz="0" w:space="0" w:color="auto"/>
        <w:left w:val="none" w:sz="0" w:space="0" w:color="auto"/>
        <w:bottom w:val="none" w:sz="0" w:space="0" w:color="auto"/>
        <w:right w:val="none" w:sz="0" w:space="0" w:color="auto"/>
      </w:divBdr>
      <w:divsChild>
        <w:div w:id="572933691">
          <w:marLeft w:val="0"/>
          <w:marRight w:val="0"/>
          <w:marTop w:val="0"/>
          <w:marBottom w:val="0"/>
          <w:divBdr>
            <w:top w:val="none" w:sz="0" w:space="0" w:color="auto"/>
            <w:left w:val="none" w:sz="0" w:space="0" w:color="auto"/>
            <w:bottom w:val="none" w:sz="0" w:space="0" w:color="auto"/>
            <w:right w:val="none" w:sz="0" w:space="0" w:color="auto"/>
          </w:divBdr>
          <w:divsChild>
            <w:div w:id="92118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11413">
      <w:bodyDiv w:val="1"/>
      <w:marLeft w:val="0"/>
      <w:marRight w:val="0"/>
      <w:marTop w:val="0"/>
      <w:marBottom w:val="0"/>
      <w:divBdr>
        <w:top w:val="none" w:sz="0" w:space="0" w:color="auto"/>
        <w:left w:val="none" w:sz="0" w:space="0" w:color="auto"/>
        <w:bottom w:val="none" w:sz="0" w:space="0" w:color="auto"/>
        <w:right w:val="none" w:sz="0" w:space="0" w:color="auto"/>
      </w:divBdr>
    </w:div>
    <w:div w:id="211962890">
      <w:bodyDiv w:val="1"/>
      <w:marLeft w:val="0"/>
      <w:marRight w:val="0"/>
      <w:marTop w:val="0"/>
      <w:marBottom w:val="0"/>
      <w:divBdr>
        <w:top w:val="none" w:sz="0" w:space="0" w:color="auto"/>
        <w:left w:val="none" w:sz="0" w:space="0" w:color="auto"/>
        <w:bottom w:val="none" w:sz="0" w:space="0" w:color="auto"/>
        <w:right w:val="none" w:sz="0" w:space="0" w:color="auto"/>
      </w:divBdr>
    </w:div>
    <w:div w:id="212231233">
      <w:bodyDiv w:val="1"/>
      <w:marLeft w:val="0"/>
      <w:marRight w:val="0"/>
      <w:marTop w:val="0"/>
      <w:marBottom w:val="0"/>
      <w:divBdr>
        <w:top w:val="none" w:sz="0" w:space="0" w:color="auto"/>
        <w:left w:val="none" w:sz="0" w:space="0" w:color="auto"/>
        <w:bottom w:val="none" w:sz="0" w:space="0" w:color="auto"/>
        <w:right w:val="none" w:sz="0" w:space="0" w:color="auto"/>
      </w:divBdr>
    </w:div>
    <w:div w:id="212735580">
      <w:bodyDiv w:val="1"/>
      <w:marLeft w:val="0"/>
      <w:marRight w:val="0"/>
      <w:marTop w:val="0"/>
      <w:marBottom w:val="0"/>
      <w:divBdr>
        <w:top w:val="none" w:sz="0" w:space="0" w:color="auto"/>
        <w:left w:val="none" w:sz="0" w:space="0" w:color="auto"/>
        <w:bottom w:val="none" w:sz="0" w:space="0" w:color="auto"/>
        <w:right w:val="none" w:sz="0" w:space="0" w:color="auto"/>
      </w:divBdr>
    </w:div>
    <w:div w:id="220290310">
      <w:bodyDiv w:val="1"/>
      <w:marLeft w:val="0"/>
      <w:marRight w:val="0"/>
      <w:marTop w:val="0"/>
      <w:marBottom w:val="0"/>
      <w:divBdr>
        <w:top w:val="none" w:sz="0" w:space="0" w:color="auto"/>
        <w:left w:val="none" w:sz="0" w:space="0" w:color="auto"/>
        <w:bottom w:val="none" w:sz="0" w:space="0" w:color="auto"/>
        <w:right w:val="none" w:sz="0" w:space="0" w:color="auto"/>
      </w:divBdr>
    </w:div>
    <w:div w:id="224684749">
      <w:bodyDiv w:val="1"/>
      <w:marLeft w:val="0"/>
      <w:marRight w:val="0"/>
      <w:marTop w:val="0"/>
      <w:marBottom w:val="0"/>
      <w:divBdr>
        <w:top w:val="none" w:sz="0" w:space="0" w:color="auto"/>
        <w:left w:val="none" w:sz="0" w:space="0" w:color="auto"/>
        <w:bottom w:val="none" w:sz="0" w:space="0" w:color="auto"/>
        <w:right w:val="none" w:sz="0" w:space="0" w:color="auto"/>
      </w:divBdr>
    </w:div>
    <w:div w:id="230507512">
      <w:bodyDiv w:val="1"/>
      <w:marLeft w:val="0"/>
      <w:marRight w:val="0"/>
      <w:marTop w:val="0"/>
      <w:marBottom w:val="0"/>
      <w:divBdr>
        <w:top w:val="none" w:sz="0" w:space="0" w:color="auto"/>
        <w:left w:val="none" w:sz="0" w:space="0" w:color="auto"/>
        <w:bottom w:val="none" w:sz="0" w:space="0" w:color="auto"/>
        <w:right w:val="none" w:sz="0" w:space="0" w:color="auto"/>
      </w:divBdr>
    </w:div>
    <w:div w:id="234322338">
      <w:bodyDiv w:val="1"/>
      <w:marLeft w:val="0"/>
      <w:marRight w:val="0"/>
      <w:marTop w:val="0"/>
      <w:marBottom w:val="0"/>
      <w:divBdr>
        <w:top w:val="none" w:sz="0" w:space="0" w:color="auto"/>
        <w:left w:val="none" w:sz="0" w:space="0" w:color="auto"/>
        <w:bottom w:val="none" w:sz="0" w:space="0" w:color="auto"/>
        <w:right w:val="none" w:sz="0" w:space="0" w:color="auto"/>
      </w:divBdr>
    </w:div>
    <w:div w:id="236867849">
      <w:bodyDiv w:val="1"/>
      <w:marLeft w:val="0"/>
      <w:marRight w:val="0"/>
      <w:marTop w:val="0"/>
      <w:marBottom w:val="0"/>
      <w:divBdr>
        <w:top w:val="none" w:sz="0" w:space="0" w:color="auto"/>
        <w:left w:val="none" w:sz="0" w:space="0" w:color="auto"/>
        <w:bottom w:val="none" w:sz="0" w:space="0" w:color="auto"/>
        <w:right w:val="none" w:sz="0" w:space="0" w:color="auto"/>
      </w:divBdr>
    </w:div>
    <w:div w:id="243104682">
      <w:bodyDiv w:val="1"/>
      <w:marLeft w:val="0"/>
      <w:marRight w:val="0"/>
      <w:marTop w:val="0"/>
      <w:marBottom w:val="0"/>
      <w:divBdr>
        <w:top w:val="none" w:sz="0" w:space="0" w:color="auto"/>
        <w:left w:val="none" w:sz="0" w:space="0" w:color="auto"/>
        <w:bottom w:val="none" w:sz="0" w:space="0" w:color="auto"/>
        <w:right w:val="none" w:sz="0" w:space="0" w:color="auto"/>
      </w:divBdr>
    </w:div>
    <w:div w:id="248925357">
      <w:bodyDiv w:val="1"/>
      <w:marLeft w:val="0"/>
      <w:marRight w:val="0"/>
      <w:marTop w:val="0"/>
      <w:marBottom w:val="0"/>
      <w:divBdr>
        <w:top w:val="none" w:sz="0" w:space="0" w:color="auto"/>
        <w:left w:val="none" w:sz="0" w:space="0" w:color="auto"/>
        <w:bottom w:val="none" w:sz="0" w:space="0" w:color="auto"/>
        <w:right w:val="none" w:sz="0" w:space="0" w:color="auto"/>
      </w:divBdr>
    </w:div>
    <w:div w:id="264582521">
      <w:bodyDiv w:val="1"/>
      <w:marLeft w:val="0"/>
      <w:marRight w:val="0"/>
      <w:marTop w:val="0"/>
      <w:marBottom w:val="0"/>
      <w:divBdr>
        <w:top w:val="none" w:sz="0" w:space="0" w:color="auto"/>
        <w:left w:val="none" w:sz="0" w:space="0" w:color="auto"/>
        <w:bottom w:val="none" w:sz="0" w:space="0" w:color="auto"/>
        <w:right w:val="none" w:sz="0" w:space="0" w:color="auto"/>
      </w:divBdr>
    </w:div>
    <w:div w:id="264775066">
      <w:bodyDiv w:val="1"/>
      <w:marLeft w:val="0"/>
      <w:marRight w:val="0"/>
      <w:marTop w:val="0"/>
      <w:marBottom w:val="0"/>
      <w:divBdr>
        <w:top w:val="none" w:sz="0" w:space="0" w:color="auto"/>
        <w:left w:val="none" w:sz="0" w:space="0" w:color="auto"/>
        <w:bottom w:val="none" w:sz="0" w:space="0" w:color="auto"/>
        <w:right w:val="none" w:sz="0" w:space="0" w:color="auto"/>
      </w:divBdr>
    </w:div>
    <w:div w:id="265188269">
      <w:bodyDiv w:val="1"/>
      <w:marLeft w:val="0"/>
      <w:marRight w:val="0"/>
      <w:marTop w:val="0"/>
      <w:marBottom w:val="0"/>
      <w:divBdr>
        <w:top w:val="none" w:sz="0" w:space="0" w:color="auto"/>
        <w:left w:val="none" w:sz="0" w:space="0" w:color="auto"/>
        <w:bottom w:val="none" w:sz="0" w:space="0" w:color="auto"/>
        <w:right w:val="none" w:sz="0" w:space="0" w:color="auto"/>
      </w:divBdr>
    </w:div>
    <w:div w:id="272320748">
      <w:bodyDiv w:val="1"/>
      <w:marLeft w:val="0"/>
      <w:marRight w:val="0"/>
      <w:marTop w:val="0"/>
      <w:marBottom w:val="0"/>
      <w:divBdr>
        <w:top w:val="none" w:sz="0" w:space="0" w:color="auto"/>
        <w:left w:val="none" w:sz="0" w:space="0" w:color="auto"/>
        <w:bottom w:val="none" w:sz="0" w:space="0" w:color="auto"/>
        <w:right w:val="none" w:sz="0" w:space="0" w:color="auto"/>
      </w:divBdr>
    </w:div>
    <w:div w:id="291255769">
      <w:bodyDiv w:val="1"/>
      <w:marLeft w:val="0"/>
      <w:marRight w:val="0"/>
      <w:marTop w:val="0"/>
      <w:marBottom w:val="0"/>
      <w:divBdr>
        <w:top w:val="none" w:sz="0" w:space="0" w:color="auto"/>
        <w:left w:val="none" w:sz="0" w:space="0" w:color="auto"/>
        <w:bottom w:val="none" w:sz="0" w:space="0" w:color="auto"/>
        <w:right w:val="none" w:sz="0" w:space="0" w:color="auto"/>
      </w:divBdr>
    </w:div>
    <w:div w:id="294020383">
      <w:bodyDiv w:val="1"/>
      <w:marLeft w:val="0"/>
      <w:marRight w:val="0"/>
      <w:marTop w:val="0"/>
      <w:marBottom w:val="0"/>
      <w:divBdr>
        <w:top w:val="none" w:sz="0" w:space="0" w:color="auto"/>
        <w:left w:val="none" w:sz="0" w:space="0" w:color="auto"/>
        <w:bottom w:val="none" w:sz="0" w:space="0" w:color="auto"/>
        <w:right w:val="none" w:sz="0" w:space="0" w:color="auto"/>
      </w:divBdr>
      <w:divsChild>
        <w:div w:id="1365570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0545504">
          <w:blockQuote w:val="1"/>
          <w:marLeft w:val="720"/>
          <w:marRight w:val="720"/>
          <w:marTop w:val="100"/>
          <w:marBottom w:val="100"/>
          <w:divBdr>
            <w:top w:val="none" w:sz="0" w:space="0" w:color="auto"/>
            <w:left w:val="none" w:sz="0" w:space="0" w:color="auto"/>
            <w:bottom w:val="none" w:sz="0" w:space="0" w:color="auto"/>
            <w:right w:val="none" w:sz="0" w:space="0" w:color="auto"/>
          </w:divBdr>
        </w:div>
        <w:div w:id="422915583">
          <w:blockQuote w:val="1"/>
          <w:marLeft w:val="720"/>
          <w:marRight w:val="720"/>
          <w:marTop w:val="100"/>
          <w:marBottom w:val="100"/>
          <w:divBdr>
            <w:top w:val="none" w:sz="0" w:space="0" w:color="auto"/>
            <w:left w:val="none" w:sz="0" w:space="0" w:color="auto"/>
            <w:bottom w:val="none" w:sz="0" w:space="0" w:color="auto"/>
            <w:right w:val="none" w:sz="0" w:space="0" w:color="auto"/>
          </w:divBdr>
        </w:div>
        <w:div w:id="1020399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35293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9968603">
      <w:bodyDiv w:val="1"/>
      <w:marLeft w:val="0"/>
      <w:marRight w:val="0"/>
      <w:marTop w:val="0"/>
      <w:marBottom w:val="0"/>
      <w:divBdr>
        <w:top w:val="none" w:sz="0" w:space="0" w:color="auto"/>
        <w:left w:val="none" w:sz="0" w:space="0" w:color="auto"/>
        <w:bottom w:val="none" w:sz="0" w:space="0" w:color="auto"/>
        <w:right w:val="none" w:sz="0" w:space="0" w:color="auto"/>
      </w:divBdr>
    </w:div>
    <w:div w:id="300309294">
      <w:bodyDiv w:val="1"/>
      <w:marLeft w:val="0"/>
      <w:marRight w:val="0"/>
      <w:marTop w:val="0"/>
      <w:marBottom w:val="0"/>
      <w:divBdr>
        <w:top w:val="none" w:sz="0" w:space="0" w:color="auto"/>
        <w:left w:val="none" w:sz="0" w:space="0" w:color="auto"/>
        <w:bottom w:val="none" w:sz="0" w:space="0" w:color="auto"/>
        <w:right w:val="none" w:sz="0" w:space="0" w:color="auto"/>
      </w:divBdr>
      <w:divsChild>
        <w:div w:id="1984308387">
          <w:marLeft w:val="0"/>
          <w:marRight w:val="0"/>
          <w:marTop w:val="0"/>
          <w:marBottom w:val="0"/>
          <w:divBdr>
            <w:top w:val="none" w:sz="0" w:space="0" w:color="auto"/>
            <w:left w:val="none" w:sz="0" w:space="0" w:color="auto"/>
            <w:bottom w:val="none" w:sz="0" w:space="0" w:color="auto"/>
            <w:right w:val="none" w:sz="0" w:space="0" w:color="auto"/>
          </w:divBdr>
          <w:divsChild>
            <w:div w:id="62832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332282">
      <w:bodyDiv w:val="1"/>
      <w:marLeft w:val="0"/>
      <w:marRight w:val="0"/>
      <w:marTop w:val="0"/>
      <w:marBottom w:val="0"/>
      <w:divBdr>
        <w:top w:val="none" w:sz="0" w:space="0" w:color="auto"/>
        <w:left w:val="none" w:sz="0" w:space="0" w:color="auto"/>
        <w:bottom w:val="none" w:sz="0" w:space="0" w:color="auto"/>
        <w:right w:val="none" w:sz="0" w:space="0" w:color="auto"/>
      </w:divBdr>
    </w:div>
    <w:div w:id="318730954">
      <w:bodyDiv w:val="1"/>
      <w:marLeft w:val="0"/>
      <w:marRight w:val="0"/>
      <w:marTop w:val="0"/>
      <w:marBottom w:val="0"/>
      <w:divBdr>
        <w:top w:val="none" w:sz="0" w:space="0" w:color="auto"/>
        <w:left w:val="none" w:sz="0" w:space="0" w:color="auto"/>
        <w:bottom w:val="none" w:sz="0" w:space="0" w:color="auto"/>
        <w:right w:val="none" w:sz="0" w:space="0" w:color="auto"/>
      </w:divBdr>
    </w:div>
    <w:div w:id="341860989">
      <w:bodyDiv w:val="1"/>
      <w:marLeft w:val="0"/>
      <w:marRight w:val="0"/>
      <w:marTop w:val="0"/>
      <w:marBottom w:val="0"/>
      <w:divBdr>
        <w:top w:val="none" w:sz="0" w:space="0" w:color="auto"/>
        <w:left w:val="none" w:sz="0" w:space="0" w:color="auto"/>
        <w:bottom w:val="none" w:sz="0" w:space="0" w:color="auto"/>
        <w:right w:val="none" w:sz="0" w:space="0" w:color="auto"/>
      </w:divBdr>
    </w:div>
    <w:div w:id="342558013">
      <w:bodyDiv w:val="1"/>
      <w:marLeft w:val="0"/>
      <w:marRight w:val="0"/>
      <w:marTop w:val="0"/>
      <w:marBottom w:val="0"/>
      <w:divBdr>
        <w:top w:val="none" w:sz="0" w:space="0" w:color="auto"/>
        <w:left w:val="none" w:sz="0" w:space="0" w:color="auto"/>
        <w:bottom w:val="none" w:sz="0" w:space="0" w:color="auto"/>
        <w:right w:val="none" w:sz="0" w:space="0" w:color="auto"/>
      </w:divBdr>
    </w:div>
    <w:div w:id="346755210">
      <w:bodyDiv w:val="1"/>
      <w:marLeft w:val="0"/>
      <w:marRight w:val="0"/>
      <w:marTop w:val="0"/>
      <w:marBottom w:val="0"/>
      <w:divBdr>
        <w:top w:val="none" w:sz="0" w:space="0" w:color="auto"/>
        <w:left w:val="none" w:sz="0" w:space="0" w:color="auto"/>
        <w:bottom w:val="none" w:sz="0" w:space="0" w:color="auto"/>
        <w:right w:val="none" w:sz="0" w:space="0" w:color="auto"/>
      </w:divBdr>
      <w:divsChild>
        <w:div w:id="432558675">
          <w:marLeft w:val="0"/>
          <w:marRight w:val="0"/>
          <w:marTop w:val="0"/>
          <w:marBottom w:val="0"/>
          <w:divBdr>
            <w:top w:val="single" w:sz="2" w:space="0" w:color="D9D9E3"/>
            <w:left w:val="single" w:sz="2" w:space="0" w:color="D9D9E3"/>
            <w:bottom w:val="single" w:sz="2" w:space="0" w:color="D9D9E3"/>
            <w:right w:val="single" w:sz="2" w:space="0" w:color="D9D9E3"/>
          </w:divBdr>
          <w:divsChild>
            <w:div w:id="1505441213">
              <w:marLeft w:val="0"/>
              <w:marRight w:val="0"/>
              <w:marTop w:val="0"/>
              <w:marBottom w:val="0"/>
              <w:divBdr>
                <w:top w:val="single" w:sz="2" w:space="0" w:color="D9D9E3"/>
                <w:left w:val="single" w:sz="2" w:space="0" w:color="D9D9E3"/>
                <w:bottom w:val="single" w:sz="2" w:space="0" w:color="D9D9E3"/>
                <w:right w:val="single" w:sz="2" w:space="0" w:color="D9D9E3"/>
              </w:divBdr>
              <w:divsChild>
                <w:div w:id="1378748425">
                  <w:marLeft w:val="0"/>
                  <w:marRight w:val="0"/>
                  <w:marTop w:val="0"/>
                  <w:marBottom w:val="0"/>
                  <w:divBdr>
                    <w:top w:val="single" w:sz="2" w:space="0" w:color="D9D9E3"/>
                    <w:left w:val="single" w:sz="2" w:space="0" w:color="D9D9E3"/>
                    <w:bottom w:val="single" w:sz="2" w:space="0" w:color="D9D9E3"/>
                    <w:right w:val="single" w:sz="2" w:space="0" w:color="D9D9E3"/>
                  </w:divBdr>
                  <w:divsChild>
                    <w:div w:id="1306546501">
                      <w:marLeft w:val="0"/>
                      <w:marRight w:val="0"/>
                      <w:marTop w:val="0"/>
                      <w:marBottom w:val="0"/>
                      <w:divBdr>
                        <w:top w:val="single" w:sz="2" w:space="0" w:color="D9D9E3"/>
                        <w:left w:val="single" w:sz="2" w:space="0" w:color="D9D9E3"/>
                        <w:bottom w:val="single" w:sz="2" w:space="0" w:color="D9D9E3"/>
                        <w:right w:val="single" w:sz="2" w:space="0" w:color="D9D9E3"/>
                      </w:divBdr>
                      <w:divsChild>
                        <w:div w:id="591663267">
                          <w:marLeft w:val="0"/>
                          <w:marRight w:val="0"/>
                          <w:marTop w:val="0"/>
                          <w:marBottom w:val="0"/>
                          <w:divBdr>
                            <w:top w:val="single" w:sz="2" w:space="0" w:color="D9D9E3"/>
                            <w:left w:val="single" w:sz="2" w:space="0" w:color="D9D9E3"/>
                            <w:bottom w:val="single" w:sz="2" w:space="0" w:color="D9D9E3"/>
                            <w:right w:val="single" w:sz="2" w:space="0" w:color="D9D9E3"/>
                          </w:divBdr>
                          <w:divsChild>
                            <w:div w:id="1478450664">
                              <w:marLeft w:val="0"/>
                              <w:marRight w:val="0"/>
                              <w:marTop w:val="100"/>
                              <w:marBottom w:val="100"/>
                              <w:divBdr>
                                <w:top w:val="single" w:sz="2" w:space="0" w:color="D9D9E3"/>
                                <w:left w:val="single" w:sz="2" w:space="0" w:color="D9D9E3"/>
                                <w:bottom w:val="single" w:sz="2" w:space="0" w:color="D9D9E3"/>
                                <w:right w:val="single" w:sz="2" w:space="0" w:color="D9D9E3"/>
                              </w:divBdr>
                              <w:divsChild>
                                <w:div w:id="1111242715">
                                  <w:marLeft w:val="0"/>
                                  <w:marRight w:val="0"/>
                                  <w:marTop w:val="0"/>
                                  <w:marBottom w:val="0"/>
                                  <w:divBdr>
                                    <w:top w:val="single" w:sz="2" w:space="0" w:color="D9D9E3"/>
                                    <w:left w:val="single" w:sz="2" w:space="0" w:color="D9D9E3"/>
                                    <w:bottom w:val="single" w:sz="2" w:space="0" w:color="D9D9E3"/>
                                    <w:right w:val="single" w:sz="2" w:space="0" w:color="D9D9E3"/>
                                  </w:divBdr>
                                  <w:divsChild>
                                    <w:div w:id="1297636864">
                                      <w:marLeft w:val="0"/>
                                      <w:marRight w:val="0"/>
                                      <w:marTop w:val="0"/>
                                      <w:marBottom w:val="0"/>
                                      <w:divBdr>
                                        <w:top w:val="single" w:sz="2" w:space="0" w:color="D9D9E3"/>
                                        <w:left w:val="single" w:sz="2" w:space="0" w:color="D9D9E3"/>
                                        <w:bottom w:val="single" w:sz="2" w:space="0" w:color="D9D9E3"/>
                                        <w:right w:val="single" w:sz="2" w:space="0" w:color="D9D9E3"/>
                                      </w:divBdr>
                                      <w:divsChild>
                                        <w:div w:id="1986625060">
                                          <w:marLeft w:val="0"/>
                                          <w:marRight w:val="0"/>
                                          <w:marTop w:val="0"/>
                                          <w:marBottom w:val="0"/>
                                          <w:divBdr>
                                            <w:top w:val="single" w:sz="2" w:space="0" w:color="D9D9E3"/>
                                            <w:left w:val="single" w:sz="2" w:space="0" w:color="D9D9E3"/>
                                            <w:bottom w:val="single" w:sz="2" w:space="0" w:color="D9D9E3"/>
                                            <w:right w:val="single" w:sz="2" w:space="0" w:color="D9D9E3"/>
                                          </w:divBdr>
                                          <w:divsChild>
                                            <w:div w:id="1291126063">
                                              <w:marLeft w:val="0"/>
                                              <w:marRight w:val="0"/>
                                              <w:marTop w:val="0"/>
                                              <w:marBottom w:val="0"/>
                                              <w:divBdr>
                                                <w:top w:val="single" w:sz="2" w:space="0" w:color="D9D9E3"/>
                                                <w:left w:val="single" w:sz="2" w:space="0" w:color="D9D9E3"/>
                                                <w:bottom w:val="single" w:sz="2" w:space="0" w:color="D9D9E3"/>
                                                <w:right w:val="single" w:sz="2" w:space="0" w:color="D9D9E3"/>
                                              </w:divBdr>
                                              <w:divsChild>
                                                <w:div w:id="186603473">
                                                  <w:marLeft w:val="0"/>
                                                  <w:marRight w:val="0"/>
                                                  <w:marTop w:val="0"/>
                                                  <w:marBottom w:val="0"/>
                                                  <w:divBdr>
                                                    <w:top w:val="single" w:sz="2" w:space="0" w:color="D9D9E3"/>
                                                    <w:left w:val="single" w:sz="2" w:space="0" w:color="D9D9E3"/>
                                                    <w:bottom w:val="single" w:sz="2" w:space="0" w:color="D9D9E3"/>
                                                    <w:right w:val="single" w:sz="2" w:space="0" w:color="D9D9E3"/>
                                                  </w:divBdr>
                                                  <w:divsChild>
                                                    <w:div w:id="19574467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3719559">
                                                  <w:marLeft w:val="0"/>
                                                  <w:marRight w:val="0"/>
                                                  <w:marTop w:val="0"/>
                                                  <w:marBottom w:val="0"/>
                                                  <w:divBdr>
                                                    <w:top w:val="single" w:sz="2" w:space="0" w:color="D9D9E3"/>
                                                    <w:left w:val="single" w:sz="2" w:space="0" w:color="D9D9E3"/>
                                                    <w:bottom w:val="single" w:sz="2" w:space="0" w:color="D9D9E3"/>
                                                    <w:right w:val="single" w:sz="2" w:space="0" w:color="D9D9E3"/>
                                                  </w:divBdr>
                                                  <w:divsChild>
                                                    <w:div w:id="2196374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03400066">
          <w:marLeft w:val="0"/>
          <w:marRight w:val="0"/>
          <w:marTop w:val="0"/>
          <w:marBottom w:val="0"/>
          <w:divBdr>
            <w:top w:val="none" w:sz="0" w:space="0" w:color="auto"/>
            <w:left w:val="none" w:sz="0" w:space="0" w:color="auto"/>
            <w:bottom w:val="none" w:sz="0" w:space="0" w:color="auto"/>
            <w:right w:val="none" w:sz="0" w:space="0" w:color="auto"/>
          </w:divBdr>
        </w:div>
      </w:divsChild>
    </w:div>
    <w:div w:id="348684235">
      <w:bodyDiv w:val="1"/>
      <w:marLeft w:val="0"/>
      <w:marRight w:val="0"/>
      <w:marTop w:val="0"/>
      <w:marBottom w:val="0"/>
      <w:divBdr>
        <w:top w:val="none" w:sz="0" w:space="0" w:color="auto"/>
        <w:left w:val="none" w:sz="0" w:space="0" w:color="auto"/>
        <w:bottom w:val="none" w:sz="0" w:space="0" w:color="auto"/>
        <w:right w:val="none" w:sz="0" w:space="0" w:color="auto"/>
      </w:divBdr>
    </w:div>
    <w:div w:id="349723882">
      <w:bodyDiv w:val="1"/>
      <w:marLeft w:val="0"/>
      <w:marRight w:val="0"/>
      <w:marTop w:val="0"/>
      <w:marBottom w:val="0"/>
      <w:divBdr>
        <w:top w:val="none" w:sz="0" w:space="0" w:color="auto"/>
        <w:left w:val="none" w:sz="0" w:space="0" w:color="auto"/>
        <w:bottom w:val="none" w:sz="0" w:space="0" w:color="auto"/>
        <w:right w:val="none" w:sz="0" w:space="0" w:color="auto"/>
      </w:divBdr>
    </w:div>
    <w:div w:id="359670791">
      <w:bodyDiv w:val="1"/>
      <w:marLeft w:val="0"/>
      <w:marRight w:val="0"/>
      <w:marTop w:val="0"/>
      <w:marBottom w:val="0"/>
      <w:divBdr>
        <w:top w:val="none" w:sz="0" w:space="0" w:color="auto"/>
        <w:left w:val="none" w:sz="0" w:space="0" w:color="auto"/>
        <w:bottom w:val="none" w:sz="0" w:space="0" w:color="auto"/>
        <w:right w:val="none" w:sz="0" w:space="0" w:color="auto"/>
      </w:divBdr>
    </w:div>
    <w:div w:id="361326209">
      <w:bodyDiv w:val="1"/>
      <w:marLeft w:val="0"/>
      <w:marRight w:val="0"/>
      <w:marTop w:val="0"/>
      <w:marBottom w:val="0"/>
      <w:divBdr>
        <w:top w:val="none" w:sz="0" w:space="0" w:color="auto"/>
        <w:left w:val="none" w:sz="0" w:space="0" w:color="auto"/>
        <w:bottom w:val="none" w:sz="0" w:space="0" w:color="auto"/>
        <w:right w:val="none" w:sz="0" w:space="0" w:color="auto"/>
      </w:divBdr>
    </w:div>
    <w:div w:id="370347570">
      <w:bodyDiv w:val="1"/>
      <w:marLeft w:val="0"/>
      <w:marRight w:val="0"/>
      <w:marTop w:val="0"/>
      <w:marBottom w:val="0"/>
      <w:divBdr>
        <w:top w:val="none" w:sz="0" w:space="0" w:color="auto"/>
        <w:left w:val="none" w:sz="0" w:space="0" w:color="auto"/>
        <w:bottom w:val="none" w:sz="0" w:space="0" w:color="auto"/>
        <w:right w:val="none" w:sz="0" w:space="0" w:color="auto"/>
      </w:divBdr>
    </w:div>
    <w:div w:id="411508277">
      <w:bodyDiv w:val="1"/>
      <w:marLeft w:val="0"/>
      <w:marRight w:val="0"/>
      <w:marTop w:val="0"/>
      <w:marBottom w:val="0"/>
      <w:divBdr>
        <w:top w:val="none" w:sz="0" w:space="0" w:color="auto"/>
        <w:left w:val="none" w:sz="0" w:space="0" w:color="auto"/>
        <w:bottom w:val="none" w:sz="0" w:space="0" w:color="auto"/>
        <w:right w:val="none" w:sz="0" w:space="0" w:color="auto"/>
      </w:divBdr>
    </w:div>
    <w:div w:id="432669358">
      <w:bodyDiv w:val="1"/>
      <w:marLeft w:val="0"/>
      <w:marRight w:val="0"/>
      <w:marTop w:val="0"/>
      <w:marBottom w:val="0"/>
      <w:divBdr>
        <w:top w:val="none" w:sz="0" w:space="0" w:color="auto"/>
        <w:left w:val="none" w:sz="0" w:space="0" w:color="auto"/>
        <w:bottom w:val="none" w:sz="0" w:space="0" w:color="auto"/>
        <w:right w:val="none" w:sz="0" w:space="0" w:color="auto"/>
      </w:divBdr>
      <w:divsChild>
        <w:div w:id="448744026">
          <w:marLeft w:val="0"/>
          <w:marRight w:val="0"/>
          <w:marTop w:val="0"/>
          <w:marBottom w:val="0"/>
          <w:divBdr>
            <w:top w:val="single" w:sz="2" w:space="0" w:color="D9D9E3"/>
            <w:left w:val="single" w:sz="2" w:space="0" w:color="D9D9E3"/>
            <w:bottom w:val="single" w:sz="2" w:space="0" w:color="D9D9E3"/>
            <w:right w:val="single" w:sz="2" w:space="0" w:color="D9D9E3"/>
          </w:divBdr>
          <w:divsChild>
            <w:div w:id="19796508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21014435">
          <w:marLeft w:val="0"/>
          <w:marRight w:val="0"/>
          <w:marTop w:val="0"/>
          <w:marBottom w:val="0"/>
          <w:divBdr>
            <w:top w:val="single" w:sz="2" w:space="0" w:color="D9D9E3"/>
            <w:left w:val="single" w:sz="2" w:space="0" w:color="D9D9E3"/>
            <w:bottom w:val="single" w:sz="2" w:space="0" w:color="D9D9E3"/>
            <w:right w:val="single" w:sz="2" w:space="0" w:color="D9D9E3"/>
          </w:divBdr>
          <w:divsChild>
            <w:div w:id="12856249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51195738">
          <w:marLeft w:val="0"/>
          <w:marRight w:val="0"/>
          <w:marTop w:val="0"/>
          <w:marBottom w:val="0"/>
          <w:divBdr>
            <w:top w:val="single" w:sz="2" w:space="0" w:color="D9D9E3"/>
            <w:left w:val="single" w:sz="2" w:space="0" w:color="D9D9E3"/>
            <w:bottom w:val="single" w:sz="2" w:space="0" w:color="D9D9E3"/>
            <w:right w:val="single" w:sz="2" w:space="0" w:color="D9D9E3"/>
          </w:divBdr>
          <w:divsChild>
            <w:div w:id="1385955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37532148">
      <w:bodyDiv w:val="1"/>
      <w:marLeft w:val="0"/>
      <w:marRight w:val="0"/>
      <w:marTop w:val="0"/>
      <w:marBottom w:val="0"/>
      <w:divBdr>
        <w:top w:val="none" w:sz="0" w:space="0" w:color="auto"/>
        <w:left w:val="none" w:sz="0" w:space="0" w:color="auto"/>
        <w:bottom w:val="none" w:sz="0" w:space="0" w:color="auto"/>
        <w:right w:val="none" w:sz="0" w:space="0" w:color="auto"/>
      </w:divBdr>
    </w:div>
    <w:div w:id="444272692">
      <w:bodyDiv w:val="1"/>
      <w:marLeft w:val="0"/>
      <w:marRight w:val="0"/>
      <w:marTop w:val="0"/>
      <w:marBottom w:val="0"/>
      <w:divBdr>
        <w:top w:val="none" w:sz="0" w:space="0" w:color="auto"/>
        <w:left w:val="none" w:sz="0" w:space="0" w:color="auto"/>
        <w:bottom w:val="none" w:sz="0" w:space="0" w:color="auto"/>
        <w:right w:val="none" w:sz="0" w:space="0" w:color="auto"/>
      </w:divBdr>
    </w:div>
    <w:div w:id="451747937">
      <w:bodyDiv w:val="1"/>
      <w:marLeft w:val="0"/>
      <w:marRight w:val="0"/>
      <w:marTop w:val="0"/>
      <w:marBottom w:val="0"/>
      <w:divBdr>
        <w:top w:val="none" w:sz="0" w:space="0" w:color="auto"/>
        <w:left w:val="none" w:sz="0" w:space="0" w:color="auto"/>
        <w:bottom w:val="none" w:sz="0" w:space="0" w:color="auto"/>
        <w:right w:val="none" w:sz="0" w:space="0" w:color="auto"/>
      </w:divBdr>
    </w:div>
    <w:div w:id="459959157">
      <w:bodyDiv w:val="1"/>
      <w:marLeft w:val="0"/>
      <w:marRight w:val="0"/>
      <w:marTop w:val="0"/>
      <w:marBottom w:val="0"/>
      <w:divBdr>
        <w:top w:val="none" w:sz="0" w:space="0" w:color="auto"/>
        <w:left w:val="none" w:sz="0" w:space="0" w:color="auto"/>
        <w:bottom w:val="none" w:sz="0" w:space="0" w:color="auto"/>
        <w:right w:val="none" w:sz="0" w:space="0" w:color="auto"/>
      </w:divBdr>
    </w:div>
    <w:div w:id="461047290">
      <w:bodyDiv w:val="1"/>
      <w:marLeft w:val="0"/>
      <w:marRight w:val="0"/>
      <w:marTop w:val="0"/>
      <w:marBottom w:val="0"/>
      <w:divBdr>
        <w:top w:val="none" w:sz="0" w:space="0" w:color="auto"/>
        <w:left w:val="none" w:sz="0" w:space="0" w:color="auto"/>
        <w:bottom w:val="none" w:sz="0" w:space="0" w:color="auto"/>
        <w:right w:val="none" w:sz="0" w:space="0" w:color="auto"/>
      </w:divBdr>
    </w:div>
    <w:div w:id="467282705">
      <w:bodyDiv w:val="1"/>
      <w:marLeft w:val="0"/>
      <w:marRight w:val="0"/>
      <w:marTop w:val="0"/>
      <w:marBottom w:val="0"/>
      <w:divBdr>
        <w:top w:val="none" w:sz="0" w:space="0" w:color="auto"/>
        <w:left w:val="none" w:sz="0" w:space="0" w:color="auto"/>
        <w:bottom w:val="none" w:sz="0" w:space="0" w:color="auto"/>
        <w:right w:val="none" w:sz="0" w:space="0" w:color="auto"/>
      </w:divBdr>
    </w:div>
    <w:div w:id="472913352">
      <w:bodyDiv w:val="1"/>
      <w:marLeft w:val="0"/>
      <w:marRight w:val="0"/>
      <w:marTop w:val="0"/>
      <w:marBottom w:val="0"/>
      <w:divBdr>
        <w:top w:val="none" w:sz="0" w:space="0" w:color="auto"/>
        <w:left w:val="none" w:sz="0" w:space="0" w:color="auto"/>
        <w:bottom w:val="none" w:sz="0" w:space="0" w:color="auto"/>
        <w:right w:val="none" w:sz="0" w:space="0" w:color="auto"/>
      </w:divBdr>
    </w:div>
    <w:div w:id="479078299">
      <w:bodyDiv w:val="1"/>
      <w:marLeft w:val="0"/>
      <w:marRight w:val="0"/>
      <w:marTop w:val="0"/>
      <w:marBottom w:val="0"/>
      <w:divBdr>
        <w:top w:val="none" w:sz="0" w:space="0" w:color="auto"/>
        <w:left w:val="none" w:sz="0" w:space="0" w:color="auto"/>
        <w:bottom w:val="none" w:sz="0" w:space="0" w:color="auto"/>
        <w:right w:val="none" w:sz="0" w:space="0" w:color="auto"/>
      </w:divBdr>
    </w:div>
    <w:div w:id="487677581">
      <w:bodyDiv w:val="1"/>
      <w:marLeft w:val="0"/>
      <w:marRight w:val="0"/>
      <w:marTop w:val="0"/>
      <w:marBottom w:val="0"/>
      <w:divBdr>
        <w:top w:val="none" w:sz="0" w:space="0" w:color="auto"/>
        <w:left w:val="none" w:sz="0" w:space="0" w:color="auto"/>
        <w:bottom w:val="none" w:sz="0" w:space="0" w:color="auto"/>
        <w:right w:val="none" w:sz="0" w:space="0" w:color="auto"/>
      </w:divBdr>
    </w:div>
    <w:div w:id="492064341">
      <w:bodyDiv w:val="1"/>
      <w:marLeft w:val="0"/>
      <w:marRight w:val="0"/>
      <w:marTop w:val="0"/>
      <w:marBottom w:val="0"/>
      <w:divBdr>
        <w:top w:val="none" w:sz="0" w:space="0" w:color="auto"/>
        <w:left w:val="none" w:sz="0" w:space="0" w:color="auto"/>
        <w:bottom w:val="none" w:sz="0" w:space="0" w:color="auto"/>
        <w:right w:val="none" w:sz="0" w:space="0" w:color="auto"/>
      </w:divBdr>
    </w:div>
    <w:div w:id="497230945">
      <w:bodyDiv w:val="1"/>
      <w:marLeft w:val="0"/>
      <w:marRight w:val="0"/>
      <w:marTop w:val="0"/>
      <w:marBottom w:val="0"/>
      <w:divBdr>
        <w:top w:val="none" w:sz="0" w:space="0" w:color="auto"/>
        <w:left w:val="none" w:sz="0" w:space="0" w:color="auto"/>
        <w:bottom w:val="none" w:sz="0" w:space="0" w:color="auto"/>
        <w:right w:val="none" w:sz="0" w:space="0" w:color="auto"/>
      </w:divBdr>
    </w:div>
    <w:div w:id="516627442">
      <w:bodyDiv w:val="1"/>
      <w:marLeft w:val="0"/>
      <w:marRight w:val="0"/>
      <w:marTop w:val="0"/>
      <w:marBottom w:val="0"/>
      <w:divBdr>
        <w:top w:val="none" w:sz="0" w:space="0" w:color="auto"/>
        <w:left w:val="none" w:sz="0" w:space="0" w:color="auto"/>
        <w:bottom w:val="none" w:sz="0" w:space="0" w:color="auto"/>
        <w:right w:val="none" w:sz="0" w:space="0" w:color="auto"/>
      </w:divBdr>
    </w:div>
    <w:div w:id="519584736">
      <w:bodyDiv w:val="1"/>
      <w:marLeft w:val="0"/>
      <w:marRight w:val="0"/>
      <w:marTop w:val="0"/>
      <w:marBottom w:val="0"/>
      <w:divBdr>
        <w:top w:val="none" w:sz="0" w:space="0" w:color="auto"/>
        <w:left w:val="none" w:sz="0" w:space="0" w:color="auto"/>
        <w:bottom w:val="none" w:sz="0" w:space="0" w:color="auto"/>
        <w:right w:val="none" w:sz="0" w:space="0" w:color="auto"/>
      </w:divBdr>
    </w:div>
    <w:div w:id="522936390">
      <w:bodyDiv w:val="1"/>
      <w:marLeft w:val="0"/>
      <w:marRight w:val="0"/>
      <w:marTop w:val="0"/>
      <w:marBottom w:val="0"/>
      <w:divBdr>
        <w:top w:val="none" w:sz="0" w:space="0" w:color="auto"/>
        <w:left w:val="none" w:sz="0" w:space="0" w:color="auto"/>
        <w:bottom w:val="none" w:sz="0" w:space="0" w:color="auto"/>
        <w:right w:val="none" w:sz="0" w:space="0" w:color="auto"/>
      </w:divBdr>
    </w:div>
    <w:div w:id="537472208">
      <w:bodyDiv w:val="1"/>
      <w:marLeft w:val="0"/>
      <w:marRight w:val="0"/>
      <w:marTop w:val="0"/>
      <w:marBottom w:val="0"/>
      <w:divBdr>
        <w:top w:val="none" w:sz="0" w:space="0" w:color="auto"/>
        <w:left w:val="none" w:sz="0" w:space="0" w:color="auto"/>
        <w:bottom w:val="none" w:sz="0" w:space="0" w:color="auto"/>
        <w:right w:val="none" w:sz="0" w:space="0" w:color="auto"/>
      </w:divBdr>
    </w:div>
    <w:div w:id="543950133">
      <w:bodyDiv w:val="1"/>
      <w:marLeft w:val="0"/>
      <w:marRight w:val="0"/>
      <w:marTop w:val="0"/>
      <w:marBottom w:val="0"/>
      <w:divBdr>
        <w:top w:val="none" w:sz="0" w:space="0" w:color="auto"/>
        <w:left w:val="none" w:sz="0" w:space="0" w:color="auto"/>
        <w:bottom w:val="none" w:sz="0" w:space="0" w:color="auto"/>
        <w:right w:val="none" w:sz="0" w:space="0" w:color="auto"/>
      </w:divBdr>
    </w:div>
    <w:div w:id="563761555">
      <w:bodyDiv w:val="1"/>
      <w:marLeft w:val="0"/>
      <w:marRight w:val="0"/>
      <w:marTop w:val="0"/>
      <w:marBottom w:val="0"/>
      <w:divBdr>
        <w:top w:val="none" w:sz="0" w:space="0" w:color="auto"/>
        <w:left w:val="none" w:sz="0" w:space="0" w:color="auto"/>
        <w:bottom w:val="none" w:sz="0" w:space="0" w:color="auto"/>
        <w:right w:val="none" w:sz="0" w:space="0" w:color="auto"/>
      </w:divBdr>
    </w:div>
    <w:div w:id="564224516">
      <w:bodyDiv w:val="1"/>
      <w:marLeft w:val="0"/>
      <w:marRight w:val="0"/>
      <w:marTop w:val="0"/>
      <w:marBottom w:val="0"/>
      <w:divBdr>
        <w:top w:val="none" w:sz="0" w:space="0" w:color="auto"/>
        <w:left w:val="none" w:sz="0" w:space="0" w:color="auto"/>
        <w:bottom w:val="none" w:sz="0" w:space="0" w:color="auto"/>
        <w:right w:val="none" w:sz="0" w:space="0" w:color="auto"/>
      </w:divBdr>
    </w:div>
    <w:div w:id="573971525">
      <w:bodyDiv w:val="1"/>
      <w:marLeft w:val="0"/>
      <w:marRight w:val="0"/>
      <w:marTop w:val="0"/>
      <w:marBottom w:val="0"/>
      <w:divBdr>
        <w:top w:val="none" w:sz="0" w:space="0" w:color="auto"/>
        <w:left w:val="none" w:sz="0" w:space="0" w:color="auto"/>
        <w:bottom w:val="none" w:sz="0" w:space="0" w:color="auto"/>
        <w:right w:val="none" w:sz="0" w:space="0" w:color="auto"/>
      </w:divBdr>
    </w:div>
    <w:div w:id="588274548">
      <w:bodyDiv w:val="1"/>
      <w:marLeft w:val="0"/>
      <w:marRight w:val="0"/>
      <w:marTop w:val="0"/>
      <w:marBottom w:val="0"/>
      <w:divBdr>
        <w:top w:val="none" w:sz="0" w:space="0" w:color="auto"/>
        <w:left w:val="none" w:sz="0" w:space="0" w:color="auto"/>
        <w:bottom w:val="none" w:sz="0" w:space="0" w:color="auto"/>
        <w:right w:val="none" w:sz="0" w:space="0" w:color="auto"/>
      </w:divBdr>
    </w:div>
    <w:div w:id="603732135">
      <w:bodyDiv w:val="1"/>
      <w:marLeft w:val="0"/>
      <w:marRight w:val="0"/>
      <w:marTop w:val="0"/>
      <w:marBottom w:val="0"/>
      <w:divBdr>
        <w:top w:val="none" w:sz="0" w:space="0" w:color="auto"/>
        <w:left w:val="none" w:sz="0" w:space="0" w:color="auto"/>
        <w:bottom w:val="none" w:sz="0" w:space="0" w:color="auto"/>
        <w:right w:val="none" w:sz="0" w:space="0" w:color="auto"/>
      </w:divBdr>
      <w:divsChild>
        <w:div w:id="442573177">
          <w:marLeft w:val="0"/>
          <w:marRight w:val="0"/>
          <w:marTop w:val="0"/>
          <w:marBottom w:val="0"/>
          <w:divBdr>
            <w:top w:val="none" w:sz="0" w:space="0" w:color="auto"/>
            <w:left w:val="none" w:sz="0" w:space="0" w:color="auto"/>
            <w:bottom w:val="none" w:sz="0" w:space="0" w:color="auto"/>
            <w:right w:val="none" w:sz="0" w:space="0" w:color="auto"/>
          </w:divBdr>
          <w:divsChild>
            <w:div w:id="92264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763685">
      <w:bodyDiv w:val="1"/>
      <w:marLeft w:val="0"/>
      <w:marRight w:val="0"/>
      <w:marTop w:val="0"/>
      <w:marBottom w:val="0"/>
      <w:divBdr>
        <w:top w:val="none" w:sz="0" w:space="0" w:color="auto"/>
        <w:left w:val="none" w:sz="0" w:space="0" w:color="auto"/>
        <w:bottom w:val="none" w:sz="0" w:space="0" w:color="auto"/>
        <w:right w:val="none" w:sz="0" w:space="0" w:color="auto"/>
      </w:divBdr>
      <w:divsChild>
        <w:div w:id="1787846623">
          <w:marLeft w:val="0"/>
          <w:marRight w:val="0"/>
          <w:marTop w:val="0"/>
          <w:marBottom w:val="0"/>
          <w:divBdr>
            <w:top w:val="single" w:sz="2" w:space="0" w:color="D9D9E3"/>
            <w:left w:val="single" w:sz="2" w:space="0" w:color="D9D9E3"/>
            <w:bottom w:val="single" w:sz="2" w:space="0" w:color="D9D9E3"/>
            <w:right w:val="single" w:sz="2" w:space="0" w:color="D9D9E3"/>
          </w:divBdr>
          <w:divsChild>
            <w:div w:id="9963760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210652331">
          <w:marLeft w:val="0"/>
          <w:marRight w:val="0"/>
          <w:marTop w:val="0"/>
          <w:marBottom w:val="0"/>
          <w:divBdr>
            <w:top w:val="single" w:sz="2" w:space="0" w:color="D9D9E3"/>
            <w:left w:val="single" w:sz="2" w:space="0" w:color="D9D9E3"/>
            <w:bottom w:val="single" w:sz="2" w:space="0" w:color="D9D9E3"/>
            <w:right w:val="single" w:sz="2" w:space="0" w:color="D9D9E3"/>
          </w:divBdr>
          <w:divsChild>
            <w:div w:id="2909397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22076266">
      <w:bodyDiv w:val="1"/>
      <w:marLeft w:val="0"/>
      <w:marRight w:val="0"/>
      <w:marTop w:val="0"/>
      <w:marBottom w:val="0"/>
      <w:divBdr>
        <w:top w:val="none" w:sz="0" w:space="0" w:color="auto"/>
        <w:left w:val="none" w:sz="0" w:space="0" w:color="auto"/>
        <w:bottom w:val="none" w:sz="0" w:space="0" w:color="auto"/>
        <w:right w:val="none" w:sz="0" w:space="0" w:color="auto"/>
      </w:divBdr>
    </w:div>
    <w:div w:id="622736253">
      <w:bodyDiv w:val="1"/>
      <w:marLeft w:val="0"/>
      <w:marRight w:val="0"/>
      <w:marTop w:val="0"/>
      <w:marBottom w:val="0"/>
      <w:divBdr>
        <w:top w:val="none" w:sz="0" w:space="0" w:color="auto"/>
        <w:left w:val="none" w:sz="0" w:space="0" w:color="auto"/>
        <w:bottom w:val="none" w:sz="0" w:space="0" w:color="auto"/>
        <w:right w:val="none" w:sz="0" w:space="0" w:color="auto"/>
      </w:divBdr>
    </w:div>
    <w:div w:id="632096051">
      <w:bodyDiv w:val="1"/>
      <w:marLeft w:val="0"/>
      <w:marRight w:val="0"/>
      <w:marTop w:val="0"/>
      <w:marBottom w:val="0"/>
      <w:divBdr>
        <w:top w:val="none" w:sz="0" w:space="0" w:color="auto"/>
        <w:left w:val="none" w:sz="0" w:space="0" w:color="auto"/>
        <w:bottom w:val="none" w:sz="0" w:space="0" w:color="auto"/>
        <w:right w:val="none" w:sz="0" w:space="0" w:color="auto"/>
      </w:divBdr>
    </w:div>
    <w:div w:id="634525913">
      <w:bodyDiv w:val="1"/>
      <w:marLeft w:val="0"/>
      <w:marRight w:val="0"/>
      <w:marTop w:val="0"/>
      <w:marBottom w:val="0"/>
      <w:divBdr>
        <w:top w:val="none" w:sz="0" w:space="0" w:color="auto"/>
        <w:left w:val="none" w:sz="0" w:space="0" w:color="auto"/>
        <w:bottom w:val="none" w:sz="0" w:space="0" w:color="auto"/>
        <w:right w:val="none" w:sz="0" w:space="0" w:color="auto"/>
      </w:divBdr>
    </w:div>
    <w:div w:id="644621791">
      <w:bodyDiv w:val="1"/>
      <w:marLeft w:val="0"/>
      <w:marRight w:val="0"/>
      <w:marTop w:val="0"/>
      <w:marBottom w:val="0"/>
      <w:divBdr>
        <w:top w:val="none" w:sz="0" w:space="0" w:color="auto"/>
        <w:left w:val="none" w:sz="0" w:space="0" w:color="auto"/>
        <w:bottom w:val="none" w:sz="0" w:space="0" w:color="auto"/>
        <w:right w:val="none" w:sz="0" w:space="0" w:color="auto"/>
      </w:divBdr>
    </w:div>
    <w:div w:id="656228627">
      <w:bodyDiv w:val="1"/>
      <w:marLeft w:val="0"/>
      <w:marRight w:val="0"/>
      <w:marTop w:val="0"/>
      <w:marBottom w:val="0"/>
      <w:divBdr>
        <w:top w:val="none" w:sz="0" w:space="0" w:color="auto"/>
        <w:left w:val="none" w:sz="0" w:space="0" w:color="auto"/>
        <w:bottom w:val="none" w:sz="0" w:space="0" w:color="auto"/>
        <w:right w:val="none" w:sz="0" w:space="0" w:color="auto"/>
      </w:divBdr>
    </w:div>
    <w:div w:id="658000573">
      <w:bodyDiv w:val="1"/>
      <w:marLeft w:val="0"/>
      <w:marRight w:val="0"/>
      <w:marTop w:val="0"/>
      <w:marBottom w:val="0"/>
      <w:divBdr>
        <w:top w:val="none" w:sz="0" w:space="0" w:color="auto"/>
        <w:left w:val="none" w:sz="0" w:space="0" w:color="auto"/>
        <w:bottom w:val="none" w:sz="0" w:space="0" w:color="auto"/>
        <w:right w:val="none" w:sz="0" w:space="0" w:color="auto"/>
      </w:divBdr>
    </w:div>
    <w:div w:id="663706589">
      <w:bodyDiv w:val="1"/>
      <w:marLeft w:val="0"/>
      <w:marRight w:val="0"/>
      <w:marTop w:val="0"/>
      <w:marBottom w:val="0"/>
      <w:divBdr>
        <w:top w:val="none" w:sz="0" w:space="0" w:color="auto"/>
        <w:left w:val="none" w:sz="0" w:space="0" w:color="auto"/>
        <w:bottom w:val="none" w:sz="0" w:space="0" w:color="auto"/>
        <w:right w:val="none" w:sz="0" w:space="0" w:color="auto"/>
      </w:divBdr>
      <w:divsChild>
        <w:div w:id="313418493">
          <w:marLeft w:val="0"/>
          <w:marRight w:val="0"/>
          <w:marTop w:val="0"/>
          <w:marBottom w:val="0"/>
          <w:divBdr>
            <w:top w:val="none" w:sz="0" w:space="0" w:color="auto"/>
            <w:left w:val="none" w:sz="0" w:space="0" w:color="auto"/>
            <w:bottom w:val="none" w:sz="0" w:space="0" w:color="auto"/>
            <w:right w:val="none" w:sz="0" w:space="0" w:color="auto"/>
          </w:divBdr>
          <w:divsChild>
            <w:div w:id="140649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3505">
      <w:bodyDiv w:val="1"/>
      <w:marLeft w:val="0"/>
      <w:marRight w:val="0"/>
      <w:marTop w:val="0"/>
      <w:marBottom w:val="0"/>
      <w:divBdr>
        <w:top w:val="none" w:sz="0" w:space="0" w:color="auto"/>
        <w:left w:val="none" w:sz="0" w:space="0" w:color="auto"/>
        <w:bottom w:val="none" w:sz="0" w:space="0" w:color="auto"/>
        <w:right w:val="none" w:sz="0" w:space="0" w:color="auto"/>
      </w:divBdr>
    </w:div>
    <w:div w:id="688024406">
      <w:bodyDiv w:val="1"/>
      <w:marLeft w:val="0"/>
      <w:marRight w:val="0"/>
      <w:marTop w:val="0"/>
      <w:marBottom w:val="0"/>
      <w:divBdr>
        <w:top w:val="none" w:sz="0" w:space="0" w:color="auto"/>
        <w:left w:val="none" w:sz="0" w:space="0" w:color="auto"/>
        <w:bottom w:val="none" w:sz="0" w:space="0" w:color="auto"/>
        <w:right w:val="none" w:sz="0" w:space="0" w:color="auto"/>
      </w:divBdr>
    </w:div>
    <w:div w:id="691953575">
      <w:bodyDiv w:val="1"/>
      <w:marLeft w:val="0"/>
      <w:marRight w:val="0"/>
      <w:marTop w:val="0"/>
      <w:marBottom w:val="0"/>
      <w:divBdr>
        <w:top w:val="none" w:sz="0" w:space="0" w:color="auto"/>
        <w:left w:val="none" w:sz="0" w:space="0" w:color="auto"/>
        <w:bottom w:val="none" w:sz="0" w:space="0" w:color="auto"/>
        <w:right w:val="none" w:sz="0" w:space="0" w:color="auto"/>
      </w:divBdr>
      <w:divsChild>
        <w:div w:id="1588032287">
          <w:marLeft w:val="0"/>
          <w:marRight w:val="0"/>
          <w:marTop w:val="0"/>
          <w:marBottom w:val="0"/>
          <w:divBdr>
            <w:top w:val="single" w:sz="2" w:space="0" w:color="D9D9E3"/>
            <w:left w:val="single" w:sz="2" w:space="0" w:color="D9D9E3"/>
            <w:bottom w:val="single" w:sz="2" w:space="0" w:color="D9D9E3"/>
            <w:right w:val="single" w:sz="2" w:space="0" w:color="D9D9E3"/>
          </w:divBdr>
          <w:divsChild>
            <w:div w:id="10267574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577326818">
          <w:marLeft w:val="0"/>
          <w:marRight w:val="0"/>
          <w:marTop w:val="0"/>
          <w:marBottom w:val="0"/>
          <w:divBdr>
            <w:top w:val="single" w:sz="2" w:space="0" w:color="D9D9E3"/>
            <w:left w:val="single" w:sz="2" w:space="0" w:color="D9D9E3"/>
            <w:bottom w:val="single" w:sz="2" w:space="0" w:color="D9D9E3"/>
            <w:right w:val="single" w:sz="2" w:space="0" w:color="D9D9E3"/>
          </w:divBdr>
          <w:divsChild>
            <w:div w:id="17255200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94310324">
      <w:bodyDiv w:val="1"/>
      <w:marLeft w:val="0"/>
      <w:marRight w:val="0"/>
      <w:marTop w:val="0"/>
      <w:marBottom w:val="0"/>
      <w:divBdr>
        <w:top w:val="none" w:sz="0" w:space="0" w:color="auto"/>
        <w:left w:val="none" w:sz="0" w:space="0" w:color="auto"/>
        <w:bottom w:val="none" w:sz="0" w:space="0" w:color="auto"/>
        <w:right w:val="none" w:sz="0" w:space="0" w:color="auto"/>
      </w:divBdr>
    </w:div>
    <w:div w:id="697315417">
      <w:bodyDiv w:val="1"/>
      <w:marLeft w:val="0"/>
      <w:marRight w:val="0"/>
      <w:marTop w:val="0"/>
      <w:marBottom w:val="0"/>
      <w:divBdr>
        <w:top w:val="none" w:sz="0" w:space="0" w:color="auto"/>
        <w:left w:val="none" w:sz="0" w:space="0" w:color="auto"/>
        <w:bottom w:val="none" w:sz="0" w:space="0" w:color="auto"/>
        <w:right w:val="none" w:sz="0" w:space="0" w:color="auto"/>
      </w:divBdr>
    </w:div>
    <w:div w:id="709918133">
      <w:bodyDiv w:val="1"/>
      <w:marLeft w:val="0"/>
      <w:marRight w:val="0"/>
      <w:marTop w:val="0"/>
      <w:marBottom w:val="0"/>
      <w:divBdr>
        <w:top w:val="none" w:sz="0" w:space="0" w:color="auto"/>
        <w:left w:val="none" w:sz="0" w:space="0" w:color="auto"/>
        <w:bottom w:val="none" w:sz="0" w:space="0" w:color="auto"/>
        <w:right w:val="none" w:sz="0" w:space="0" w:color="auto"/>
      </w:divBdr>
    </w:div>
    <w:div w:id="713381917">
      <w:bodyDiv w:val="1"/>
      <w:marLeft w:val="0"/>
      <w:marRight w:val="0"/>
      <w:marTop w:val="0"/>
      <w:marBottom w:val="0"/>
      <w:divBdr>
        <w:top w:val="none" w:sz="0" w:space="0" w:color="auto"/>
        <w:left w:val="none" w:sz="0" w:space="0" w:color="auto"/>
        <w:bottom w:val="none" w:sz="0" w:space="0" w:color="auto"/>
        <w:right w:val="none" w:sz="0" w:space="0" w:color="auto"/>
      </w:divBdr>
    </w:div>
    <w:div w:id="716663692">
      <w:bodyDiv w:val="1"/>
      <w:marLeft w:val="0"/>
      <w:marRight w:val="0"/>
      <w:marTop w:val="0"/>
      <w:marBottom w:val="0"/>
      <w:divBdr>
        <w:top w:val="none" w:sz="0" w:space="0" w:color="auto"/>
        <w:left w:val="none" w:sz="0" w:space="0" w:color="auto"/>
        <w:bottom w:val="none" w:sz="0" w:space="0" w:color="auto"/>
        <w:right w:val="none" w:sz="0" w:space="0" w:color="auto"/>
      </w:divBdr>
    </w:div>
    <w:div w:id="731198129">
      <w:bodyDiv w:val="1"/>
      <w:marLeft w:val="0"/>
      <w:marRight w:val="0"/>
      <w:marTop w:val="0"/>
      <w:marBottom w:val="0"/>
      <w:divBdr>
        <w:top w:val="none" w:sz="0" w:space="0" w:color="auto"/>
        <w:left w:val="none" w:sz="0" w:space="0" w:color="auto"/>
        <w:bottom w:val="none" w:sz="0" w:space="0" w:color="auto"/>
        <w:right w:val="none" w:sz="0" w:space="0" w:color="auto"/>
      </w:divBdr>
    </w:div>
    <w:div w:id="736510010">
      <w:bodyDiv w:val="1"/>
      <w:marLeft w:val="0"/>
      <w:marRight w:val="0"/>
      <w:marTop w:val="0"/>
      <w:marBottom w:val="0"/>
      <w:divBdr>
        <w:top w:val="none" w:sz="0" w:space="0" w:color="auto"/>
        <w:left w:val="none" w:sz="0" w:space="0" w:color="auto"/>
        <w:bottom w:val="none" w:sz="0" w:space="0" w:color="auto"/>
        <w:right w:val="none" w:sz="0" w:space="0" w:color="auto"/>
      </w:divBdr>
      <w:divsChild>
        <w:div w:id="1456868984">
          <w:marLeft w:val="0"/>
          <w:marRight w:val="0"/>
          <w:marTop w:val="0"/>
          <w:marBottom w:val="0"/>
          <w:divBdr>
            <w:top w:val="none" w:sz="0" w:space="0" w:color="auto"/>
            <w:left w:val="none" w:sz="0" w:space="0" w:color="auto"/>
            <w:bottom w:val="none" w:sz="0" w:space="0" w:color="auto"/>
            <w:right w:val="none" w:sz="0" w:space="0" w:color="auto"/>
          </w:divBdr>
          <w:divsChild>
            <w:div w:id="104991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828905">
      <w:bodyDiv w:val="1"/>
      <w:marLeft w:val="0"/>
      <w:marRight w:val="0"/>
      <w:marTop w:val="0"/>
      <w:marBottom w:val="0"/>
      <w:divBdr>
        <w:top w:val="none" w:sz="0" w:space="0" w:color="auto"/>
        <w:left w:val="none" w:sz="0" w:space="0" w:color="auto"/>
        <w:bottom w:val="none" w:sz="0" w:space="0" w:color="auto"/>
        <w:right w:val="none" w:sz="0" w:space="0" w:color="auto"/>
      </w:divBdr>
    </w:div>
    <w:div w:id="754060051">
      <w:bodyDiv w:val="1"/>
      <w:marLeft w:val="0"/>
      <w:marRight w:val="0"/>
      <w:marTop w:val="0"/>
      <w:marBottom w:val="0"/>
      <w:divBdr>
        <w:top w:val="none" w:sz="0" w:space="0" w:color="auto"/>
        <w:left w:val="none" w:sz="0" w:space="0" w:color="auto"/>
        <w:bottom w:val="none" w:sz="0" w:space="0" w:color="auto"/>
        <w:right w:val="none" w:sz="0" w:space="0" w:color="auto"/>
      </w:divBdr>
    </w:div>
    <w:div w:id="777604373">
      <w:bodyDiv w:val="1"/>
      <w:marLeft w:val="0"/>
      <w:marRight w:val="0"/>
      <w:marTop w:val="0"/>
      <w:marBottom w:val="0"/>
      <w:divBdr>
        <w:top w:val="none" w:sz="0" w:space="0" w:color="auto"/>
        <w:left w:val="none" w:sz="0" w:space="0" w:color="auto"/>
        <w:bottom w:val="none" w:sz="0" w:space="0" w:color="auto"/>
        <w:right w:val="none" w:sz="0" w:space="0" w:color="auto"/>
      </w:divBdr>
    </w:div>
    <w:div w:id="778380853">
      <w:bodyDiv w:val="1"/>
      <w:marLeft w:val="0"/>
      <w:marRight w:val="0"/>
      <w:marTop w:val="0"/>
      <w:marBottom w:val="0"/>
      <w:divBdr>
        <w:top w:val="none" w:sz="0" w:space="0" w:color="auto"/>
        <w:left w:val="none" w:sz="0" w:space="0" w:color="auto"/>
        <w:bottom w:val="none" w:sz="0" w:space="0" w:color="auto"/>
        <w:right w:val="none" w:sz="0" w:space="0" w:color="auto"/>
      </w:divBdr>
    </w:div>
    <w:div w:id="799107788">
      <w:bodyDiv w:val="1"/>
      <w:marLeft w:val="0"/>
      <w:marRight w:val="0"/>
      <w:marTop w:val="0"/>
      <w:marBottom w:val="0"/>
      <w:divBdr>
        <w:top w:val="none" w:sz="0" w:space="0" w:color="auto"/>
        <w:left w:val="none" w:sz="0" w:space="0" w:color="auto"/>
        <w:bottom w:val="none" w:sz="0" w:space="0" w:color="auto"/>
        <w:right w:val="none" w:sz="0" w:space="0" w:color="auto"/>
      </w:divBdr>
    </w:div>
    <w:div w:id="804936024">
      <w:bodyDiv w:val="1"/>
      <w:marLeft w:val="0"/>
      <w:marRight w:val="0"/>
      <w:marTop w:val="0"/>
      <w:marBottom w:val="0"/>
      <w:divBdr>
        <w:top w:val="none" w:sz="0" w:space="0" w:color="auto"/>
        <w:left w:val="none" w:sz="0" w:space="0" w:color="auto"/>
        <w:bottom w:val="none" w:sz="0" w:space="0" w:color="auto"/>
        <w:right w:val="none" w:sz="0" w:space="0" w:color="auto"/>
      </w:divBdr>
    </w:div>
    <w:div w:id="833767702">
      <w:bodyDiv w:val="1"/>
      <w:marLeft w:val="0"/>
      <w:marRight w:val="0"/>
      <w:marTop w:val="0"/>
      <w:marBottom w:val="0"/>
      <w:divBdr>
        <w:top w:val="none" w:sz="0" w:space="0" w:color="auto"/>
        <w:left w:val="none" w:sz="0" w:space="0" w:color="auto"/>
        <w:bottom w:val="none" w:sz="0" w:space="0" w:color="auto"/>
        <w:right w:val="none" w:sz="0" w:space="0" w:color="auto"/>
      </w:divBdr>
    </w:div>
    <w:div w:id="836379262">
      <w:bodyDiv w:val="1"/>
      <w:marLeft w:val="0"/>
      <w:marRight w:val="0"/>
      <w:marTop w:val="0"/>
      <w:marBottom w:val="0"/>
      <w:divBdr>
        <w:top w:val="none" w:sz="0" w:space="0" w:color="auto"/>
        <w:left w:val="none" w:sz="0" w:space="0" w:color="auto"/>
        <w:bottom w:val="none" w:sz="0" w:space="0" w:color="auto"/>
        <w:right w:val="none" w:sz="0" w:space="0" w:color="auto"/>
      </w:divBdr>
    </w:div>
    <w:div w:id="839464582">
      <w:bodyDiv w:val="1"/>
      <w:marLeft w:val="0"/>
      <w:marRight w:val="0"/>
      <w:marTop w:val="0"/>
      <w:marBottom w:val="0"/>
      <w:divBdr>
        <w:top w:val="none" w:sz="0" w:space="0" w:color="auto"/>
        <w:left w:val="none" w:sz="0" w:space="0" w:color="auto"/>
        <w:bottom w:val="none" w:sz="0" w:space="0" w:color="auto"/>
        <w:right w:val="none" w:sz="0" w:space="0" w:color="auto"/>
      </w:divBdr>
      <w:divsChild>
        <w:div w:id="43020972">
          <w:marLeft w:val="0"/>
          <w:marRight w:val="0"/>
          <w:marTop w:val="0"/>
          <w:marBottom w:val="0"/>
          <w:divBdr>
            <w:top w:val="none" w:sz="0" w:space="0" w:color="auto"/>
            <w:left w:val="none" w:sz="0" w:space="0" w:color="auto"/>
            <w:bottom w:val="none" w:sz="0" w:space="0" w:color="auto"/>
            <w:right w:val="none" w:sz="0" w:space="0" w:color="auto"/>
          </w:divBdr>
          <w:divsChild>
            <w:div w:id="1090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817963">
      <w:bodyDiv w:val="1"/>
      <w:marLeft w:val="0"/>
      <w:marRight w:val="0"/>
      <w:marTop w:val="0"/>
      <w:marBottom w:val="0"/>
      <w:divBdr>
        <w:top w:val="none" w:sz="0" w:space="0" w:color="auto"/>
        <w:left w:val="none" w:sz="0" w:space="0" w:color="auto"/>
        <w:bottom w:val="none" w:sz="0" w:space="0" w:color="auto"/>
        <w:right w:val="none" w:sz="0" w:space="0" w:color="auto"/>
      </w:divBdr>
      <w:divsChild>
        <w:div w:id="5990674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9685913">
      <w:bodyDiv w:val="1"/>
      <w:marLeft w:val="0"/>
      <w:marRight w:val="0"/>
      <w:marTop w:val="0"/>
      <w:marBottom w:val="0"/>
      <w:divBdr>
        <w:top w:val="none" w:sz="0" w:space="0" w:color="auto"/>
        <w:left w:val="none" w:sz="0" w:space="0" w:color="auto"/>
        <w:bottom w:val="none" w:sz="0" w:space="0" w:color="auto"/>
        <w:right w:val="none" w:sz="0" w:space="0" w:color="auto"/>
      </w:divBdr>
    </w:div>
    <w:div w:id="869997703">
      <w:bodyDiv w:val="1"/>
      <w:marLeft w:val="0"/>
      <w:marRight w:val="0"/>
      <w:marTop w:val="0"/>
      <w:marBottom w:val="0"/>
      <w:divBdr>
        <w:top w:val="none" w:sz="0" w:space="0" w:color="auto"/>
        <w:left w:val="none" w:sz="0" w:space="0" w:color="auto"/>
        <w:bottom w:val="none" w:sz="0" w:space="0" w:color="auto"/>
        <w:right w:val="none" w:sz="0" w:space="0" w:color="auto"/>
      </w:divBdr>
    </w:div>
    <w:div w:id="874080421">
      <w:bodyDiv w:val="1"/>
      <w:marLeft w:val="0"/>
      <w:marRight w:val="0"/>
      <w:marTop w:val="0"/>
      <w:marBottom w:val="0"/>
      <w:divBdr>
        <w:top w:val="none" w:sz="0" w:space="0" w:color="auto"/>
        <w:left w:val="none" w:sz="0" w:space="0" w:color="auto"/>
        <w:bottom w:val="none" w:sz="0" w:space="0" w:color="auto"/>
        <w:right w:val="none" w:sz="0" w:space="0" w:color="auto"/>
      </w:divBdr>
    </w:div>
    <w:div w:id="876894888">
      <w:bodyDiv w:val="1"/>
      <w:marLeft w:val="0"/>
      <w:marRight w:val="0"/>
      <w:marTop w:val="0"/>
      <w:marBottom w:val="0"/>
      <w:divBdr>
        <w:top w:val="none" w:sz="0" w:space="0" w:color="auto"/>
        <w:left w:val="none" w:sz="0" w:space="0" w:color="auto"/>
        <w:bottom w:val="none" w:sz="0" w:space="0" w:color="auto"/>
        <w:right w:val="none" w:sz="0" w:space="0" w:color="auto"/>
      </w:divBdr>
    </w:div>
    <w:div w:id="879559605">
      <w:bodyDiv w:val="1"/>
      <w:marLeft w:val="0"/>
      <w:marRight w:val="0"/>
      <w:marTop w:val="0"/>
      <w:marBottom w:val="0"/>
      <w:divBdr>
        <w:top w:val="none" w:sz="0" w:space="0" w:color="auto"/>
        <w:left w:val="none" w:sz="0" w:space="0" w:color="auto"/>
        <w:bottom w:val="none" w:sz="0" w:space="0" w:color="auto"/>
        <w:right w:val="none" w:sz="0" w:space="0" w:color="auto"/>
      </w:divBdr>
    </w:div>
    <w:div w:id="879779981">
      <w:bodyDiv w:val="1"/>
      <w:marLeft w:val="0"/>
      <w:marRight w:val="0"/>
      <w:marTop w:val="0"/>
      <w:marBottom w:val="0"/>
      <w:divBdr>
        <w:top w:val="none" w:sz="0" w:space="0" w:color="auto"/>
        <w:left w:val="none" w:sz="0" w:space="0" w:color="auto"/>
        <w:bottom w:val="none" w:sz="0" w:space="0" w:color="auto"/>
        <w:right w:val="none" w:sz="0" w:space="0" w:color="auto"/>
      </w:divBdr>
    </w:div>
    <w:div w:id="890577362">
      <w:bodyDiv w:val="1"/>
      <w:marLeft w:val="0"/>
      <w:marRight w:val="0"/>
      <w:marTop w:val="0"/>
      <w:marBottom w:val="0"/>
      <w:divBdr>
        <w:top w:val="none" w:sz="0" w:space="0" w:color="auto"/>
        <w:left w:val="none" w:sz="0" w:space="0" w:color="auto"/>
        <w:bottom w:val="none" w:sz="0" w:space="0" w:color="auto"/>
        <w:right w:val="none" w:sz="0" w:space="0" w:color="auto"/>
      </w:divBdr>
      <w:divsChild>
        <w:div w:id="91555200">
          <w:marLeft w:val="0"/>
          <w:marRight w:val="0"/>
          <w:marTop w:val="0"/>
          <w:marBottom w:val="0"/>
          <w:divBdr>
            <w:top w:val="single" w:sz="2" w:space="0" w:color="D9D9E3"/>
            <w:left w:val="single" w:sz="2" w:space="0" w:color="D9D9E3"/>
            <w:bottom w:val="single" w:sz="2" w:space="0" w:color="D9D9E3"/>
            <w:right w:val="single" w:sz="2" w:space="0" w:color="D9D9E3"/>
          </w:divBdr>
          <w:divsChild>
            <w:div w:id="5515071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524903191">
          <w:marLeft w:val="0"/>
          <w:marRight w:val="0"/>
          <w:marTop w:val="0"/>
          <w:marBottom w:val="0"/>
          <w:divBdr>
            <w:top w:val="single" w:sz="2" w:space="0" w:color="D9D9E3"/>
            <w:left w:val="single" w:sz="2" w:space="0" w:color="D9D9E3"/>
            <w:bottom w:val="single" w:sz="2" w:space="0" w:color="D9D9E3"/>
            <w:right w:val="single" w:sz="2" w:space="0" w:color="D9D9E3"/>
          </w:divBdr>
          <w:divsChild>
            <w:div w:id="18933433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329986800">
          <w:marLeft w:val="0"/>
          <w:marRight w:val="0"/>
          <w:marTop w:val="0"/>
          <w:marBottom w:val="0"/>
          <w:divBdr>
            <w:top w:val="single" w:sz="2" w:space="0" w:color="D9D9E3"/>
            <w:left w:val="single" w:sz="2" w:space="0" w:color="D9D9E3"/>
            <w:bottom w:val="single" w:sz="2" w:space="0" w:color="D9D9E3"/>
            <w:right w:val="single" w:sz="2" w:space="0" w:color="D9D9E3"/>
          </w:divBdr>
          <w:divsChild>
            <w:div w:id="4668261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98831087">
      <w:bodyDiv w:val="1"/>
      <w:marLeft w:val="0"/>
      <w:marRight w:val="0"/>
      <w:marTop w:val="0"/>
      <w:marBottom w:val="0"/>
      <w:divBdr>
        <w:top w:val="none" w:sz="0" w:space="0" w:color="auto"/>
        <w:left w:val="none" w:sz="0" w:space="0" w:color="auto"/>
        <w:bottom w:val="none" w:sz="0" w:space="0" w:color="auto"/>
        <w:right w:val="none" w:sz="0" w:space="0" w:color="auto"/>
      </w:divBdr>
    </w:div>
    <w:div w:id="899484400">
      <w:bodyDiv w:val="1"/>
      <w:marLeft w:val="0"/>
      <w:marRight w:val="0"/>
      <w:marTop w:val="0"/>
      <w:marBottom w:val="0"/>
      <w:divBdr>
        <w:top w:val="none" w:sz="0" w:space="0" w:color="auto"/>
        <w:left w:val="none" w:sz="0" w:space="0" w:color="auto"/>
        <w:bottom w:val="none" w:sz="0" w:space="0" w:color="auto"/>
        <w:right w:val="none" w:sz="0" w:space="0" w:color="auto"/>
      </w:divBdr>
    </w:div>
    <w:div w:id="909854272">
      <w:bodyDiv w:val="1"/>
      <w:marLeft w:val="0"/>
      <w:marRight w:val="0"/>
      <w:marTop w:val="0"/>
      <w:marBottom w:val="0"/>
      <w:divBdr>
        <w:top w:val="none" w:sz="0" w:space="0" w:color="auto"/>
        <w:left w:val="none" w:sz="0" w:space="0" w:color="auto"/>
        <w:bottom w:val="none" w:sz="0" w:space="0" w:color="auto"/>
        <w:right w:val="none" w:sz="0" w:space="0" w:color="auto"/>
      </w:divBdr>
    </w:div>
    <w:div w:id="911886623">
      <w:bodyDiv w:val="1"/>
      <w:marLeft w:val="0"/>
      <w:marRight w:val="0"/>
      <w:marTop w:val="0"/>
      <w:marBottom w:val="0"/>
      <w:divBdr>
        <w:top w:val="none" w:sz="0" w:space="0" w:color="auto"/>
        <w:left w:val="none" w:sz="0" w:space="0" w:color="auto"/>
        <w:bottom w:val="none" w:sz="0" w:space="0" w:color="auto"/>
        <w:right w:val="none" w:sz="0" w:space="0" w:color="auto"/>
      </w:divBdr>
    </w:div>
    <w:div w:id="918296743">
      <w:bodyDiv w:val="1"/>
      <w:marLeft w:val="0"/>
      <w:marRight w:val="0"/>
      <w:marTop w:val="0"/>
      <w:marBottom w:val="0"/>
      <w:divBdr>
        <w:top w:val="none" w:sz="0" w:space="0" w:color="auto"/>
        <w:left w:val="none" w:sz="0" w:space="0" w:color="auto"/>
        <w:bottom w:val="none" w:sz="0" w:space="0" w:color="auto"/>
        <w:right w:val="none" w:sz="0" w:space="0" w:color="auto"/>
      </w:divBdr>
      <w:divsChild>
        <w:div w:id="1100685241">
          <w:marLeft w:val="0"/>
          <w:marRight w:val="0"/>
          <w:marTop w:val="0"/>
          <w:marBottom w:val="0"/>
          <w:divBdr>
            <w:top w:val="single" w:sz="2" w:space="0" w:color="D9D9E3"/>
            <w:left w:val="single" w:sz="2" w:space="0" w:color="D9D9E3"/>
            <w:bottom w:val="single" w:sz="2" w:space="0" w:color="D9D9E3"/>
            <w:right w:val="single" w:sz="2" w:space="0" w:color="D9D9E3"/>
          </w:divBdr>
          <w:divsChild>
            <w:div w:id="1787844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94979217">
          <w:marLeft w:val="0"/>
          <w:marRight w:val="0"/>
          <w:marTop w:val="0"/>
          <w:marBottom w:val="0"/>
          <w:divBdr>
            <w:top w:val="single" w:sz="2" w:space="0" w:color="D9D9E3"/>
            <w:left w:val="single" w:sz="2" w:space="0" w:color="D9D9E3"/>
            <w:bottom w:val="single" w:sz="2" w:space="0" w:color="D9D9E3"/>
            <w:right w:val="single" w:sz="2" w:space="0" w:color="D9D9E3"/>
          </w:divBdr>
          <w:divsChild>
            <w:div w:id="17177007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24541317">
          <w:marLeft w:val="0"/>
          <w:marRight w:val="0"/>
          <w:marTop w:val="0"/>
          <w:marBottom w:val="0"/>
          <w:divBdr>
            <w:top w:val="single" w:sz="2" w:space="0" w:color="D9D9E3"/>
            <w:left w:val="single" w:sz="2" w:space="0" w:color="D9D9E3"/>
            <w:bottom w:val="single" w:sz="2" w:space="0" w:color="D9D9E3"/>
            <w:right w:val="single" w:sz="2" w:space="0" w:color="D9D9E3"/>
          </w:divBdr>
          <w:divsChild>
            <w:div w:id="3813685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932594035">
      <w:bodyDiv w:val="1"/>
      <w:marLeft w:val="0"/>
      <w:marRight w:val="0"/>
      <w:marTop w:val="0"/>
      <w:marBottom w:val="0"/>
      <w:divBdr>
        <w:top w:val="none" w:sz="0" w:space="0" w:color="auto"/>
        <w:left w:val="none" w:sz="0" w:space="0" w:color="auto"/>
        <w:bottom w:val="none" w:sz="0" w:space="0" w:color="auto"/>
        <w:right w:val="none" w:sz="0" w:space="0" w:color="auto"/>
      </w:divBdr>
      <w:divsChild>
        <w:div w:id="812140987">
          <w:marLeft w:val="446"/>
          <w:marRight w:val="0"/>
          <w:marTop w:val="240"/>
          <w:marBottom w:val="240"/>
          <w:divBdr>
            <w:top w:val="none" w:sz="0" w:space="0" w:color="auto"/>
            <w:left w:val="none" w:sz="0" w:space="0" w:color="auto"/>
            <w:bottom w:val="none" w:sz="0" w:space="0" w:color="auto"/>
            <w:right w:val="none" w:sz="0" w:space="0" w:color="auto"/>
          </w:divBdr>
        </w:div>
      </w:divsChild>
    </w:div>
    <w:div w:id="935865382">
      <w:bodyDiv w:val="1"/>
      <w:marLeft w:val="0"/>
      <w:marRight w:val="0"/>
      <w:marTop w:val="0"/>
      <w:marBottom w:val="0"/>
      <w:divBdr>
        <w:top w:val="none" w:sz="0" w:space="0" w:color="auto"/>
        <w:left w:val="none" w:sz="0" w:space="0" w:color="auto"/>
        <w:bottom w:val="none" w:sz="0" w:space="0" w:color="auto"/>
        <w:right w:val="none" w:sz="0" w:space="0" w:color="auto"/>
      </w:divBdr>
    </w:div>
    <w:div w:id="952589179">
      <w:bodyDiv w:val="1"/>
      <w:marLeft w:val="0"/>
      <w:marRight w:val="0"/>
      <w:marTop w:val="0"/>
      <w:marBottom w:val="0"/>
      <w:divBdr>
        <w:top w:val="none" w:sz="0" w:space="0" w:color="auto"/>
        <w:left w:val="none" w:sz="0" w:space="0" w:color="auto"/>
        <w:bottom w:val="none" w:sz="0" w:space="0" w:color="auto"/>
        <w:right w:val="none" w:sz="0" w:space="0" w:color="auto"/>
      </w:divBdr>
    </w:div>
    <w:div w:id="970522769">
      <w:bodyDiv w:val="1"/>
      <w:marLeft w:val="0"/>
      <w:marRight w:val="0"/>
      <w:marTop w:val="0"/>
      <w:marBottom w:val="0"/>
      <w:divBdr>
        <w:top w:val="none" w:sz="0" w:space="0" w:color="auto"/>
        <w:left w:val="none" w:sz="0" w:space="0" w:color="auto"/>
        <w:bottom w:val="none" w:sz="0" w:space="0" w:color="auto"/>
        <w:right w:val="none" w:sz="0" w:space="0" w:color="auto"/>
      </w:divBdr>
    </w:div>
    <w:div w:id="972095798">
      <w:bodyDiv w:val="1"/>
      <w:marLeft w:val="0"/>
      <w:marRight w:val="0"/>
      <w:marTop w:val="0"/>
      <w:marBottom w:val="0"/>
      <w:divBdr>
        <w:top w:val="none" w:sz="0" w:space="0" w:color="auto"/>
        <w:left w:val="none" w:sz="0" w:space="0" w:color="auto"/>
        <w:bottom w:val="none" w:sz="0" w:space="0" w:color="auto"/>
        <w:right w:val="none" w:sz="0" w:space="0" w:color="auto"/>
      </w:divBdr>
    </w:div>
    <w:div w:id="973952575">
      <w:bodyDiv w:val="1"/>
      <w:marLeft w:val="0"/>
      <w:marRight w:val="0"/>
      <w:marTop w:val="0"/>
      <w:marBottom w:val="0"/>
      <w:divBdr>
        <w:top w:val="none" w:sz="0" w:space="0" w:color="auto"/>
        <w:left w:val="none" w:sz="0" w:space="0" w:color="auto"/>
        <w:bottom w:val="none" w:sz="0" w:space="0" w:color="auto"/>
        <w:right w:val="none" w:sz="0" w:space="0" w:color="auto"/>
      </w:divBdr>
    </w:div>
    <w:div w:id="983006021">
      <w:bodyDiv w:val="1"/>
      <w:marLeft w:val="0"/>
      <w:marRight w:val="0"/>
      <w:marTop w:val="0"/>
      <w:marBottom w:val="0"/>
      <w:divBdr>
        <w:top w:val="none" w:sz="0" w:space="0" w:color="auto"/>
        <w:left w:val="none" w:sz="0" w:space="0" w:color="auto"/>
        <w:bottom w:val="none" w:sz="0" w:space="0" w:color="auto"/>
        <w:right w:val="none" w:sz="0" w:space="0" w:color="auto"/>
      </w:divBdr>
    </w:div>
    <w:div w:id="988629885">
      <w:bodyDiv w:val="1"/>
      <w:marLeft w:val="0"/>
      <w:marRight w:val="0"/>
      <w:marTop w:val="0"/>
      <w:marBottom w:val="0"/>
      <w:divBdr>
        <w:top w:val="none" w:sz="0" w:space="0" w:color="auto"/>
        <w:left w:val="none" w:sz="0" w:space="0" w:color="auto"/>
        <w:bottom w:val="none" w:sz="0" w:space="0" w:color="auto"/>
        <w:right w:val="none" w:sz="0" w:space="0" w:color="auto"/>
      </w:divBdr>
    </w:div>
    <w:div w:id="1003968412">
      <w:bodyDiv w:val="1"/>
      <w:marLeft w:val="0"/>
      <w:marRight w:val="0"/>
      <w:marTop w:val="0"/>
      <w:marBottom w:val="0"/>
      <w:divBdr>
        <w:top w:val="none" w:sz="0" w:space="0" w:color="auto"/>
        <w:left w:val="none" w:sz="0" w:space="0" w:color="auto"/>
        <w:bottom w:val="none" w:sz="0" w:space="0" w:color="auto"/>
        <w:right w:val="none" w:sz="0" w:space="0" w:color="auto"/>
      </w:divBdr>
    </w:div>
    <w:div w:id="1009285816">
      <w:bodyDiv w:val="1"/>
      <w:marLeft w:val="0"/>
      <w:marRight w:val="0"/>
      <w:marTop w:val="0"/>
      <w:marBottom w:val="0"/>
      <w:divBdr>
        <w:top w:val="none" w:sz="0" w:space="0" w:color="auto"/>
        <w:left w:val="none" w:sz="0" w:space="0" w:color="auto"/>
        <w:bottom w:val="none" w:sz="0" w:space="0" w:color="auto"/>
        <w:right w:val="none" w:sz="0" w:space="0" w:color="auto"/>
      </w:divBdr>
      <w:divsChild>
        <w:div w:id="1819572838">
          <w:marLeft w:val="0"/>
          <w:marRight w:val="0"/>
          <w:marTop w:val="0"/>
          <w:marBottom w:val="0"/>
          <w:divBdr>
            <w:top w:val="none" w:sz="0" w:space="0" w:color="auto"/>
            <w:left w:val="none" w:sz="0" w:space="0" w:color="auto"/>
            <w:bottom w:val="none" w:sz="0" w:space="0" w:color="auto"/>
            <w:right w:val="none" w:sz="0" w:space="0" w:color="auto"/>
          </w:divBdr>
          <w:divsChild>
            <w:div w:id="996686571">
              <w:marLeft w:val="0"/>
              <w:marRight w:val="0"/>
              <w:marTop w:val="0"/>
              <w:marBottom w:val="0"/>
              <w:divBdr>
                <w:top w:val="none" w:sz="0" w:space="0" w:color="auto"/>
                <w:left w:val="none" w:sz="0" w:space="0" w:color="auto"/>
                <w:bottom w:val="none" w:sz="0" w:space="0" w:color="auto"/>
                <w:right w:val="none" w:sz="0" w:space="0" w:color="auto"/>
              </w:divBdr>
              <w:divsChild>
                <w:div w:id="747925497">
                  <w:marLeft w:val="0"/>
                  <w:marRight w:val="0"/>
                  <w:marTop w:val="0"/>
                  <w:marBottom w:val="0"/>
                  <w:divBdr>
                    <w:top w:val="none" w:sz="0" w:space="0" w:color="auto"/>
                    <w:left w:val="none" w:sz="0" w:space="0" w:color="auto"/>
                    <w:bottom w:val="none" w:sz="0" w:space="0" w:color="auto"/>
                    <w:right w:val="none" w:sz="0" w:space="0" w:color="auto"/>
                  </w:divBdr>
                  <w:divsChild>
                    <w:div w:id="1787238469">
                      <w:marLeft w:val="0"/>
                      <w:marRight w:val="0"/>
                      <w:marTop w:val="0"/>
                      <w:marBottom w:val="0"/>
                      <w:divBdr>
                        <w:top w:val="none" w:sz="0" w:space="0" w:color="auto"/>
                        <w:left w:val="none" w:sz="0" w:space="0" w:color="auto"/>
                        <w:bottom w:val="none" w:sz="0" w:space="0" w:color="auto"/>
                        <w:right w:val="none" w:sz="0" w:space="0" w:color="auto"/>
                      </w:divBdr>
                      <w:divsChild>
                        <w:div w:id="40903382">
                          <w:marLeft w:val="0"/>
                          <w:marRight w:val="0"/>
                          <w:marTop w:val="0"/>
                          <w:marBottom w:val="0"/>
                          <w:divBdr>
                            <w:top w:val="none" w:sz="0" w:space="0" w:color="auto"/>
                            <w:left w:val="none" w:sz="0" w:space="0" w:color="auto"/>
                            <w:bottom w:val="none" w:sz="0" w:space="0" w:color="auto"/>
                            <w:right w:val="none" w:sz="0" w:space="0" w:color="auto"/>
                          </w:divBdr>
                        </w:div>
                        <w:div w:id="819689290">
                          <w:marLeft w:val="0"/>
                          <w:marRight w:val="0"/>
                          <w:marTop w:val="0"/>
                          <w:marBottom w:val="0"/>
                          <w:divBdr>
                            <w:top w:val="none" w:sz="0" w:space="0" w:color="auto"/>
                            <w:left w:val="none" w:sz="0" w:space="0" w:color="auto"/>
                            <w:bottom w:val="none" w:sz="0" w:space="0" w:color="auto"/>
                            <w:right w:val="none" w:sz="0" w:space="0" w:color="auto"/>
                          </w:divBdr>
                          <w:divsChild>
                            <w:div w:id="1011031892">
                              <w:marLeft w:val="0"/>
                              <w:marRight w:val="0"/>
                              <w:marTop w:val="0"/>
                              <w:marBottom w:val="0"/>
                              <w:divBdr>
                                <w:top w:val="none" w:sz="0" w:space="0" w:color="auto"/>
                                <w:left w:val="none" w:sz="0" w:space="0" w:color="auto"/>
                                <w:bottom w:val="none" w:sz="0" w:space="0" w:color="auto"/>
                                <w:right w:val="none" w:sz="0" w:space="0" w:color="auto"/>
                              </w:divBdr>
                            </w:div>
                            <w:div w:id="13541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2729264">
      <w:bodyDiv w:val="1"/>
      <w:marLeft w:val="0"/>
      <w:marRight w:val="0"/>
      <w:marTop w:val="0"/>
      <w:marBottom w:val="0"/>
      <w:divBdr>
        <w:top w:val="none" w:sz="0" w:space="0" w:color="auto"/>
        <w:left w:val="none" w:sz="0" w:space="0" w:color="auto"/>
        <w:bottom w:val="none" w:sz="0" w:space="0" w:color="auto"/>
        <w:right w:val="none" w:sz="0" w:space="0" w:color="auto"/>
      </w:divBdr>
    </w:div>
    <w:div w:id="1023164760">
      <w:bodyDiv w:val="1"/>
      <w:marLeft w:val="0"/>
      <w:marRight w:val="0"/>
      <w:marTop w:val="0"/>
      <w:marBottom w:val="0"/>
      <w:divBdr>
        <w:top w:val="none" w:sz="0" w:space="0" w:color="auto"/>
        <w:left w:val="none" w:sz="0" w:space="0" w:color="auto"/>
        <w:bottom w:val="none" w:sz="0" w:space="0" w:color="auto"/>
        <w:right w:val="none" w:sz="0" w:space="0" w:color="auto"/>
      </w:divBdr>
    </w:div>
    <w:div w:id="1029455037">
      <w:bodyDiv w:val="1"/>
      <w:marLeft w:val="0"/>
      <w:marRight w:val="0"/>
      <w:marTop w:val="0"/>
      <w:marBottom w:val="0"/>
      <w:divBdr>
        <w:top w:val="none" w:sz="0" w:space="0" w:color="auto"/>
        <w:left w:val="none" w:sz="0" w:space="0" w:color="auto"/>
        <w:bottom w:val="none" w:sz="0" w:space="0" w:color="auto"/>
        <w:right w:val="none" w:sz="0" w:space="0" w:color="auto"/>
      </w:divBdr>
    </w:div>
    <w:div w:id="1047878875">
      <w:bodyDiv w:val="1"/>
      <w:marLeft w:val="0"/>
      <w:marRight w:val="0"/>
      <w:marTop w:val="0"/>
      <w:marBottom w:val="0"/>
      <w:divBdr>
        <w:top w:val="none" w:sz="0" w:space="0" w:color="auto"/>
        <w:left w:val="none" w:sz="0" w:space="0" w:color="auto"/>
        <w:bottom w:val="none" w:sz="0" w:space="0" w:color="auto"/>
        <w:right w:val="none" w:sz="0" w:space="0" w:color="auto"/>
      </w:divBdr>
      <w:divsChild>
        <w:div w:id="449084032">
          <w:marLeft w:val="0"/>
          <w:marRight w:val="0"/>
          <w:marTop w:val="0"/>
          <w:marBottom w:val="0"/>
          <w:divBdr>
            <w:top w:val="none" w:sz="0" w:space="0" w:color="auto"/>
            <w:left w:val="none" w:sz="0" w:space="0" w:color="auto"/>
            <w:bottom w:val="none" w:sz="0" w:space="0" w:color="auto"/>
            <w:right w:val="none" w:sz="0" w:space="0" w:color="auto"/>
          </w:divBdr>
          <w:divsChild>
            <w:div w:id="52012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299292">
      <w:bodyDiv w:val="1"/>
      <w:marLeft w:val="0"/>
      <w:marRight w:val="0"/>
      <w:marTop w:val="0"/>
      <w:marBottom w:val="0"/>
      <w:divBdr>
        <w:top w:val="none" w:sz="0" w:space="0" w:color="auto"/>
        <w:left w:val="none" w:sz="0" w:space="0" w:color="auto"/>
        <w:bottom w:val="none" w:sz="0" w:space="0" w:color="auto"/>
        <w:right w:val="none" w:sz="0" w:space="0" w:color="auto"/>
      </w:divBdr>
    </w:div>
    <w:div w:id="1063528541">
      <w:bodyDiv w:val="1"/>
      <w:marLeft w:val="0"/>
      <w:marRight w:val="0"/>
      <w:marTop w:val="0"/>
      <w:marBottom w:val="0"/>
      <w:divBdr>
        <w:top w:val="none" w:sz="0" w:space="0" w:color="auto"/>
        <w:left w:val="none" w:sz="0" w:space="0" w:color="auto"/>
        <w:bottom w:val="none" w:sz="0" w:space="0" w:color="auto"/>
        <w:right w:val="none" w:sz="0" w:space="0" w:color="auto"/>
      </w:divBdr>
    </w:div>
    <w:div w:id="1084843600">
      <w:bodyDiv w:val="1"/>
      <w:marLeft w:val="0"/>
      <w:marRight w:val="0"/>
      <w:marTop w:val="0"/>
      <w:marBottom w:val="0"/>
      <w:divBdr>
        <w:top w:val="none" w:sz="0" w:space="0" w:color="auto"/>
        <w:left w:val="none" w:sz="0" w:space="0" w:color="auto"/>
        <w:bottom w:val="none" w:sz="0" w:space="0" w:color="auto"/>
        <w:right w:val="none" w:sz="0" w:space="0" w:color="auto"/>
      </w:divBdr>
    </w:div>
    <w:div w:id="1085229863">
      <w:bodyDiv w:val="1"/>
      <w:marLeft w:val="0"/>
      <w:marRight w:val="0"/>
      <w:marTop w:val="0"/>
      <w:marBottom w:val="0"/>
      <w:divBdr>
        <w:top w:val="none" w:sz="0" w:space="0" w:color="auto"/>
        <w:left w:val="none" w:sz="0" w:space="0" w:color="auto"/>
        <w:bottom w:val="none" w:sz="0" w:space="0" w:color="auto"/>
        <w:right w:val="none" w:sz="0" w:space="0" w:color="auto"/>
      </w:divBdr>
    </w:div>
    <w:div w:id="1092815963">
      <w:bodyDiv w:val="1"/>
      <w:marLeft w:val="0"/>
      <w:marRight w:val="0"/>
      <w:marTop w:val="0"/>
      <w:marBottom w:val="0"/>
      <w:divBdr>
        <w:top w:val="none" w:sz="0" w:space="0" w:color="auto"/>
        <w:left w:val="none" w:sz="0" w:space="0" w:color="auto"/>
        <w:bottom w:val="none" w:sz="0" w:space="0" w:color="auto"/>
        <w:right w:val="none" w:sz="0" w:space="0" w:color="auto"/>
      </w:divBdr>
    </w:div>
    <w:div w:id="1093866101">
      <w:bodyDiv w:val="1"/>
      <w:marLeft w:val="0"/>
      <w:marRight w:val="0"/>
      <w:marTop w:val="0"/>
      <w:marBottom w:val="0"/>
      <w:divBdr>
        <w:top w:val="none" w:sz="0" w:space="0" w:color="auto"/>
        <w:left w:val="none" w:sz="0" w:space="0" w:color="auto"/>
        <w:bottom w:val="none" w:sz="0" w:space="0" w:color="auto"/>
        <w:right w:val="none" w:sz="0" w:space="0" w:color="auto"/>
      </w:divBdr>
    </w:div>
    <w:div w:id="1098137154">
      <w:bodyDiv w:val="1"/>
      <w:marLeft w:val="0"/>
      <w:marRight w:val="0"/>
      <w:marTop w:val="0"/>
      <w:marBottom w:val="0"/>
      <w:divBdr>
        <w:top w:val="none" w:sz="0" w:space="0" w:color="auto"/>
        <w:left w:val="none" w:sz="0" w:space="0" w:color="auto"/>
        <w:bottom w:val="none" w:sz="0" w:space="0" w:color="auto"/>
        <w:right w:val="none" w:sz="0" w:space="0" w:color="auto"/>
      </w:divBdr>
      <w:divsChild>
        <w:div w:id="1392726037">
          <w:marLeft w:val="0"/>
          <w:marRight w:val="0"/>
          <w:marTop w:val="0"/>
          <w:marBottom w:val="0"/>
          <w:divBdr>
            <w:top w:val="none" w:sz="0" w:space="0" w:color="auto"/>
            <w:left w:val="none" w:sz="0" w:space="0" w:color="auto"/>
            <w:bottom w:val="none" w:sz="0" w:space="0" w:color="auto"/>
            <w:right w:val="none" w:sz="0" w:space="0" w:color="auto"/>
          </w:divBdr>
          <w:divsChild>
            <w:div w:id="1067649931">
              <w:marLeft w:val="0"/>
              <w:marRight w:val="0"/>
              <w:marTop w:val="0"/>
              <w:marBottom w:val="0"/>
              <w:divBdr>
                <w:top w:val="none" w:sz="0" w:space="0" w:color="auto"/>
                <w:left w:val="none" w:sz="0" w:space="0" w:color="auto"/>
                <w:bottom w:val="none" w:sz="0" w:space="0" w:color="auto"/>
                <w:right w:val="none" w:sz="0" w:space="0" w:color="auto"/>
              </w:divBdr>
            </w:div>
          </w:divsChild>
        </w:div>
        <w:div w:id="420416831">
          <w:marLeft w:val="0"/>
          <w:marRight w:val="0"/>
          <w:marTop w:val="0"/>
          <w:marBottom w:val="0"/>
          <w:divBdr>
            <w:top w:val="none" w:sz="0" w:space="0" w:color="auto"/>
            <w:left w:val="none" w:sz="0" w:space="0" w:color="auto"/>
            <w:bottom w:val="none" w:sz="0" w:space="0" w:color="auto"/>
            <w:right w:val="none" w:sz="0" w:space="0" w:color="auto"/>
          </w:divBdr>
          <w:divsChild>
            <w:div w:id="209859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788413">
      <w:bodyDiv w:val="1"/>
      <w:marLeft w:val="0"/>
      <w:marRight w:val="0"/>
      <w:marTop w:val="0"/>
      <w:marBottom w:val="0"/>
      <w:divBdr>
        <w:top w:val="none" w:sz="0" w:space="0" w:color="auto"/>
        <w:left w:val="none" w:sz="0" w:space="0" w:color="auto"/>
        <w:bottom w:val="none" w:sz="0" w:space="0" w:color="auto"/>
        <w:right w:val="none" w:sz="0" w:space="0" w:color="auto"/>
      </w:divBdr>
    </w:div>
    <w:div w:id="1102529608">
      <w:bodyDiv w:val="1"/>
      <w:marLeft w:val="0"/>
      <w:marRight w:val="0"/>
      <w:marTop w:val="0"/>
      <w:marBottom w:val="0"/>
      <w:divBdr>
        <w:top w:val="none" w:sz="0" w:space="0" w:color="auto"/>
        <w:left w:val="none" w:sz="0" w:space="0" w:color="auto"/>
        <w:bottom w:val="none" w:sz="0" w:space="0" w:color="auto"/>
        <w:right w:val="none" w:sz="0" w:space="0" w:color="auto"/>
      </w:divBdr>
    </w:div>
    <w:div w:id="1106460585">
      <w:bodyDiv w:val="1"/>
      <w:marLeft w:val="0"/>
      <w:marRight w:val="0"/>
      <w:marTop w:val="0"/>
      <w:marBottom w:val="0"/>
      <w:divBdr>
        <w:top w:val="none" w:sz="0" w:space="0" w:color="auto"/>
        <w:left w:val="none" w:sz="0" w:space="0" w:color="auto"/>
        <w:bottom w:val="none" w:sz="0" w:space="0" w:color="auto"/>
        <w:right w:val="none" w:sz="0" w:space="0" w:color="auto"/>
      </w:divBdr>
    </w:div>
    <w:div w:id="1110665565">
      <w:bodyDiv w:val="1"/>
      <w:marLeft w:val="0"/>
      <w:marRight w:val="0"/>
      <w:marTop w:val="0"/>
      <w:marBottom w:val="0"/>
      <w:divBdr>
        <w:top w:val="none" w:sz="0" w:space="0" w:color="auto"/>
        <w:left w:val="none" w:sz="0" w:space="0" w:color="auto"/>
        <w:bottom w:val="none" w:sz="0" w:space="0" w:color="auto"/>
        <w:right w:val="none" w:sz="0" w:space="0" w:color="auto"/>
      </w:divBdr>
    </w:div>
    <w:div w:id="1115827373">
      <w:bodyDiv w:val="1"/>
      <w:marLeft w:val="0"/>
      <w:marRight w:val="0"/>
      <w:marTop w:val="0"/>
      <w:marBottom w:val="0"/>
      <w:divBdr>
        <w:top w:val="none" w:sz="0" w:space="0" w:color="auto"/>
        <w:left w:val="none" w:sz="0" w:space="0" w:color="auto"/>
        <w:bottom w:val="none" w:sz="0" w:space="0" w:color="auto"/>
        <w:right w:val="none" w:sz="0" w:space="0" w:color="auto"/>
      </w:divBdr>
      <w:divsChild>
        <w:div w:id="1924873349">
          <w:marLeft w:val="0"/>
          <w:marRight w:val="0"/>
          <w:marTop w:val="0"/>
          <w:marBottom w:val="0"/>
          <w:divBdr>
            <w:top w:val="none" w:sz="0" w:space="0" w:color="auto"/>
            <w:left w:val="none" w:sz="0" w:space="0" w:color="auto"/>
            <w:bottom w:val="none" w:sz="0" w:space="0" w:color="auto"/>
            <w:right w:val="none" w:sz="0" w:space="0" w:color="auto"/>
          </w:divBdr>
          <w:divsChild>
            <w:div w:id="106583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448813">
      <w:bodyDiv w:val="1"/>
      <w:marLeft w:val="0"/>
      <w:marRight w:val="0"/>
      <w:marTop w:val="0"/>
      <w:marBottom w:val="0"/>
      <w:divBdr>
        <w:top w:val="none" w:sz="0" w:space="0" w:color="auto"/>
        <w:left w:val="none" w:sz="0" w:space="0" w:color="auto"/>
        <w:bottom w:val="none" w:sz="0" w:space="0" w:color="auto"/>
        <w:right w:val="none" w:sz="0" w:space="0" w:color="auto"/>
      </w:divBdr>
    </w:div>
    <w:div w:id="1122454536">
      <w:bodyDiv w:val="1"/>
      <w:marLeft w:val="0"/>
      <w:marRight w:val="0"/>
      <w:marTop w:val="0"/>
      <w:marBottom w:val="0"/>
      <w:divBdr>
        <w:top w:val="none" w:sz="0" w:space="0" w:color="auto"/>
        <w:left w:val="none" w:sz="0" w:space="0" w:color="auto"/>
        <w:bottom w:val="none" w:sz="0" w:space="0" w:color="auto"/>
        <w:right w:val="none" w:sz="0" w:space="0" w:color="auto"/>
      </w:divBdr>
    </w:div>
    <w:div w:id="1136338755">
      <w:bodyDiv w:val="1"/>
      <w:marLeft w:val="0"/>
      <w:marRight w:val="0"/>
      <w:marTop w:val="0"/>
      <w:marBottom w:val="0"/>
      <w:divBdr>
        <w:top w:val="none" w:sz="0" w:space="0" w:color="auto"/>
        <w:left w:val="none" w:sz="0" w:space="0" w:color="auto"/>
        <w:bottom w:val="none" w:sz="0" w:space="0" w:color="auto"/>
        <w:right w:val="none" w:sz="0" w:space="0" w:color="auto"/>
      </w:divBdr>
    </w:div>
    <w:div w:id="1147746366">
      <w:bodyDiv w:val="1"/>
      <w:marLeft w:val="0"/>
      <w:marRight w:val="0"/>
      <w:marTop w:val="0"/>
      <w:marBottom w:val="0"/>
      <w:divBdr>
        <w:top w:val="none" w:sz="0" w:space="0" w:color="auto"/>
        <w:left w:val="none" w:sz="0" w:space="0" w:color="auto"/>
        <w:bottom w:val="none" w:sz="0" w:space="0" w:color="auto"/>
        <w:right w:val="none" w:sz="0" w:space="0" w:color="auto"/>
      </w:divBdr>
      <w:divsChild>
        <w:div w:id="258415353">
          <w:marLeft w:val="0"/>
          <w:marRight w:val="0"/>
          <w:marTop w:val="0"/>
          <w:marBottom w:val="0"/>
          <w:divBdr>
            <w:top w:val="none" w:sz="0" w:space="0" w:color="auto"/>
            <w:left w:val="none" w:sz="0" w:space="0" w:color="auto"/>
            <w:bottom w:val="none" w:sz="0" w:space="0" w:color="auto"/>
            <w:right w:val="none" w:sz="0" w:space="0" w:color="auto"/>
          </w:divBdr>
          <w:divsChild>
            <w:div w:id="161856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327985">
      <w:bodyDiv w:val="1"/>
      <w:marLeft w:val="0"/>
      <w:marRight w:val="0"/>
      <w:marTop w:val="0"/>
      <w:marBottom w:val="0"/>
      <w:divBdr>
        <w:top w:val="none" w:sz="0" w:space="0" w:color="auto"/>
        <w:left w:val="none" w:sz="0" w:space="0" w:color="auto"/>
        <w:bottom w:val="none" w:sz="0" w:space="0" w:color="auto"/>
        <w:right w:val="none" w:sz="0" w:space="0" w:color="auto"/>
      </w:divBdr>
    </w:div>
    <w:div w:id="1151211132">
      <w:bodyDiv w:val="1"/>
      <w:marLeft w:val="0"/>
      <w:marRight w:val="0"/>
      <w:marTop w:val="0"/>
      <w:marBottom w:val="0"/>
      <w:divBdr>
        <w:top w:val="none" w:sz="0" w:space="0" w:color="auto"/>
        <w:left w:val="none" w:sz="0" w:space="0" w:color="auto"/>
        <w:bottom w:val="none" w:sz="0" w:space="0" w:color="auto"/>
        <w:right w:val="none" w:sz="0" w:space="0" w:color="auto"/>
      </w:divBdr>
    </w:div>
    <w:div w:id="1159148639">
      <w:bodyDiv w:val="1"/>
      <w:marLeft w:val="0"/>
      <w:marRight w:val="0"/>
      <w:marTop w:val="0"/>
      <w:marBottom w:val="0"/>
      <w:divBdr>
        <w:top w:val="none" w:sz="0" w:space="0" w:color="auto"/>
        <w:left w:val="none" w:sz="0" w:space="0" w:color="auto"/>
        <w:bottom w:val="none" w:sz="0" w:space="0" w:color="auto"/>
        <w:right w:val="none" w:sz="0" w:space="0" w:color="auto"/>
      </w:divBdr>
    </w:div>
    <w:div w:id="1174688170">
      <w:bodyDiv w:val="1"/>
      <w:marLeft w:val="0"/>
      <w:marRight w:val="0"/>
      <w:marTop w:val="0"/>
      <w:marBottom w:val="0"/>
      <w:divBdr>
        <w:top w:val="none" w:sz="0" w:space="0" w:color="auto"/>
        <w:left w:val="none" w:sz="0" w:space="0" w:color="auto"/>
        <w:bottom w:val="none" w:sz="0" w:space="0" w:color="auto"/>
        <w:right w:val="none" w:sz="0" w:space="0" w:color="auto"/>
      </w:divBdr>
    </w:div>
    <w:div w:id="1191069777">
      <w:bodyDiv w:val="1"/>
      <w:marLeft w:val="0"/>
      <w:marRight w:val="0"/>
      <w:marTop w:val="0"/>
      <w:marBottom w:val="0"/>
      <w:divBdr>
        <w:top w:val="none" w:sz="0" w:space="0" w:color="auto"/>
        <w:left w:val="none" w:sz="0" w:space="0" w:color="auto"/>
        <w:bottom w:val="none" w:sz="0" w:space="0" w:color="auto"/>
        <w:right w:val="none" w:sz="0" w:space="0" w:color="auto"/>
      </w:divBdr>
    </w:div>
    <w:div w:id="1193424765">
      <w:bodyDiv w:val="1"/>
      <w:marLeft w:val="0"/>
      <w:marRight w:val="0"/>
      <w:marTop w:val="0"/>
      <w:marBottom w:val="0"/>
      <w:divBdr>
        <w:top w:val="none" w:sz="0" w:space="0" w:color="auto"/>
        <w:left w:val="none" w:sz="0" w:space="0" w:color="auto"/>
        <w:bottom w:val="none" w:sz="0" w:space="0" w:color="auto"/>
        <w:right w:val="none" w:sz="0" w:space="0" w:color="auto"/>
      </w:divBdr>
    </w:div>
    <w:div w:id="1194148159">
      <w:bodyDiv w:val="1"/>
      <w:marLeft w:val="0"/>
      <w:marRight w:val="0"/>
      <w:marTop w:val="0"/>
      <w:marBottom w:val="0"/>
      <w:divBdr>
        <w:top w:val="none" w:sz="0" w:space="0" w:color="auto"/>
        <w:left w:val="none" w:sz="0" w:space="0" w:color="auto"/>
        <w:bottom w:val="none" w:sz="0" w:space="0" w:color="auto"/>
        <w:right w:val="none" w:sz="0" w:space="0" w:color="auto"/>
      </w:divBdr>
    </w:div>
    <w:div w:id="1204975666">
      <w:bodyDiv w:val="1"/>
      <w:marLeft w:val="0"/>
      <w:marRight w:val="0"/>
      <w:marTop w:val="0"/>
      <w:marBottom w:val="0"/>
      <w:divBdr>
        <w:top w:val="none" w:sz="0" w:space="0" w:color="auto"/>
        <w:left w:val="none" w:sz="0" w:space="0" w:color="auto"/>
        <w:bottom w:val="none" w:sz="0" w:space="0" w:color="auto"/>
        <w:right w:val="none" w:sz="0" w:space="0" w:color="auto"/>
      </w:divBdr>
    </w:div>
    <w:div w:id="1207182860">
      <w:bodyDiv w:val="1"/>
      <w:marLeft w:val="0"/>
      <w:marRight w:val="0"/>
      <w:marTop w:val="0"/>
      <w:marBottom w:val="0"/>
      <w:divBdr>
        <w:top w:val="none" w:sz="0" w:space="0" w:color="auto"/>
        <w:left w:val="none" w:sz="0" w:space="0" w:color="auto"/>
        <w:bottom w:val="none" w:sz="0" w:space="0" w:color="auto"/>
        <w:right w:val="none" w:sz="0" w:space="0" w:color="auto"/>
      </w:divBdr>
    </w:div>
    <w:div w:id="1220165277">
      <w:bodyDiv w:val="1"/>
      <w:marLeft w:val="0"/>
      <w:marRight w:val="0"/>
      <w:marTop w:val="0"/>
      <w:marBottom w:val="0"/>
      <w:divBdr>
        <w:top w:val="none" w:sz="0" w:space="0" w:color="auto"/>
        <w:left w:val="none" w:sz="0" w:space="0" w:color="auto"/>
        <w:bottom w:val="none" w:sz="0" w:space="0" w:color="auto"/>
        <w:right w:val="none" w:sz="0" w:space="0" w:color="auto"/>
      </w:divBdr>
    </w:div>
    <w:div w:id="1220705878">
      <w:bodyDiv w:val="1"/>
      <w:marLeft w:val="0"/>
      <w:marRight w:val="0"/>
      <w:marTop w:val="0"/>
      <w:marBottom w:val="0"/>
      <w:divBdr>
        <w:top w:val="none" w:sz="0" w:space="0" w:color="auto"/>
        <w:left w:val="none" w:sz="0" w:space="0" w:color="auto"/>
        <w:bottom w:val="none" w:sz="0" w:space="0" w:color="auto"/>
        <w:right w:val="none" w:sz="0" w:space="0" w:color="auto"/>
      </w:divBdr>
    </w:div>
    <w:div w:id="1223327299">
      <w:bodyDiv w:val="1"/>
      <w:marLeft w:val="0"/>
      <w:marRight w:val="0"/>
      <w:marTop w:val="0"/>
      <w:marBottom w:val="0"/>
      <w:divBdr>
        <w:top w:val="none" w:sz="0" w:space="0" w:color="auto"/>
        <w:left w:val="none" w:sz="0" w:space="0" w:color="auto"/>
        <w:bottom w:val="none" w:sz="0" w:space="0" w:color="auto"/>
        <w:right w:val="none" w:sz="0" w:space="0" w:color="auto"/>
      </w:divBdr>
    </w:div>
    <w:div w:id="1223440214">
      <w:bodyDiv w:val="1"/>
      <w:marLeft w:val="0"/>
      <w:marRight w:val="0"/>
      <w:marTop w:val="0"/>
      <w:marBottom w:val="0"/>
      <w:divBdr>
        <w:top w:val="none" w:sz="0" w:space="0" w:color="auto"/>
        <w:left w:val="none" w:sz="0" w:space="0" w:color="auto"/>
        <w:bottom w:val="none" w:sz="0" w:space="0" w:color="auto"/>
        <w:right w:val="none" w:sz="0" w:space="0" w:color="auto"/>
      </w:divBdr>
    </w:div>
    <w:div w:id="1227570438">
      <w:bodyDiv w:val="1"/>
      <w:marLeft w:val="0"/>
      <w:marRight w:val="0"/>
      <w:marTop w:val="0"/>
      <w:marBottom w:val="0"/>
      <w:divBdr>
        <w:top w:val="none" w:sz="0" w:space="0" w:color="auto"/>
        <w:left w:val="none" w:sz="0" w:space="0" w:color="auto"/>
        <w:bottom w:val="none" w:sz="0" w:space="0" w:color="auto"/>
        <w:right w:val="none" w:sz="0" w:space="0" w:color="auto"/>
      </w:divBdr>
    </w:div>
    <w:div w:id="1233584994">
      <w:bodyDiv w:val="1"/>
      <w:marLeft w:val="0"/>
      <w:marRight w:val="0"/>
      <w:marTop w:val="0"/>
      <w:marBottom w:val="0"/>
      <w:divBdr>
        <w:top w:val="none" w:sz="0" w:space="0" w:color="auto"/>
        <w:left w:val="none" w:sz="0" w:space="0" w:color="auto"/>
        <w:bottom w:val="none" w:sz="0" w:space="0" w:color="auto"/>
        <w:right w:val="none" w:sz="0" w:space="0" w:color="auto"/>
      </w:divBdr>
    </w:div>
    <w:div w:id="1235971841">
      <w:bodyDiv w:val="1"/>
      <w:marLeft w:val="0"/>
      <w:marRight w:val="0"/>
      <w:marTop w:val="0"/>
      <w:marBottom w:val="0"/>
      <w:divBdr>
        <w:top w:val="none" w:sz="0" w:space="0" w:color="auto"/>
        <w:left w:val="none" w:sz="0" w:space="0" w:color="auto"/>
        <w:bottom w:val="none" w:sz="0" w:space="0" w:color="auto"/>
        <w:right w:val="none" w:sz="0" w:space="0" w:color="auto"/>
      </w:divBdr>
    </w:div>
    <w:div w:id="1251431826">
      <w:bodyDiv w:val="1"/>
      <w:marLeft w:val="0"/>
      <w:marRight w:val="0"/>
      <w:marTop w:val="0"/>
      <w:marBottom w:val="0"/>
      <w:divBdr>
        <w:top w:val="none" w:sz="0" w:space="0" w:color="auto"/>
        <w:left w:val="none" w:sz="0" w:space="0" w:color="auto"/>
        <w:bottom w:val="none" w:sz="0" w:space="0" w:color="auto"/>
        <w:right w:val="none" w:sz="0" w:space="0" w:color="auto"/>
      </w:divBdr>
    </w:div>
    <w:div w:id="1260260639">
      <w:bodyDiv w:val="1"/>
      <w:marLeft w:val="0"/>
      <w:marRight w:val="0"/>
      <w:marTop w:val="0"/>
      <w:marBottom w:val="0"/>
      <w:divBdr>
        <w:top w:val="none" w:sz="0" w:space="0" w:color="auto"/>
        <w:left w:val="none" w:sz="0" w:space="0" w:color="auto"/>
        <w:bottom w:val="none" w:sz="0" w:space="0" w:color="auto"/>
        <w:right w:val="none" w:sz="0" w:space="0" w:color="auto"/>
      </w:divBdr>
    </w:div>
    <w:div w:id="1283221926">
      <w:bodyDiv w:val="1"/>
      <w:marLeft w:val="0"/>
      <w:marRight w:val="0"/>
      <w:marTop w:val="0"/>
      <w:marBottom w:val="0"/>
      <w:divBdr>
        <w:top w:val="none" w:sz="0" w:space="0" w:color="auto"/>
        <w:left w:val="none" w:sz="0" w:space="0" w:color="auto"/>
        <w:bottom w:val="none" w:sz="0" w:space="0" w:color="auto"/>
        <w:right w:val="none" w:sz="0" w:space="0" w:color="auto"/>
      </w:divBdr>
    </w:div>
    <w:div w:id="1287274887">
      <w:bodyDiv w:val="1"/>
      <w:marLeft w:val="0"/>
      <w:marRight w:val="0"/>
      <w:marTop w:val="0"/>
      <w:marBottom w:val="0"/>
      <w:divBdr>
        <w:top w:val="none" w:sz="0" w:space="0" w:color="auto"/>
        <w:left w:val="none" w:sz="0" w:space="0" w:color="auto"/>
        <w:bottom w:val="none" w:sz="0" w:space="0" w:color="auto"/>
        <w:right w:val="none" w:sz="0" w:space="0" w:color="auto"/>
      </w:divBdr>
    </w:div>
    <w:div w:id="1299529547">
      <w:bodyDiv w:val="1"/>
      <w:marLeft w:val="0"/>
      <w:marRight w:val="0"/>
      <w:marTop w:val="0"/>
      <w:marBottom w:val="0"/>
      <w:divBdr>
        <w:top w:val="none" w:sz="0" w:space="0" w:color="auto"/>
        <w:left w:val="none" w:sz="0" w:space="0" w:color="auto"/>
        <w:bottom w:val="none" w:sz="0" w:space="0" w:color="auto"/>
        <w:right w:val="none" w:sz="0" w:space="0" w:color="auto"/>
      </w:divBdr>
    </w:div>
    <w:div w:id="1310475977">
      <w:bodyDiv w:val="1"/>
      <w:marLeft w:val="0"/>
      <w:marRight w:val="0"/>
      <w:marTop w:val="0"/>
      <w:marBottom w:val="0"/>
      <w:divBdr>
        <w:top w:val="none" w:sz="0" w:space="0" w:color="auto"/>
        <w:left w:val="none" w:sz="0" w:space="0" w:color="auto"/>
        <w:bottom w:val="none" w:sz="0" w:space="0" w:color="auto"/>
        <w:right w:val="none" w:sz="0" w:space="0" w:color="auto"/>
      </w:divBdr>
      <w:divsChild>
        <w:div w:id="2096396619">
          <w:marLeft w:val="0"/>
          <w:marRight w:val="0"/>
          <w:marTop w:val="0"/>
          <w:marBottom w:val="0"/>
          <w:divBdr>
            <w:top w:val="none" w:sz="0" w:space="0" w:color="auto"/>
            <w:left w:val="none" w:sz="0" w:space="0" w:color="auto"/>
            <w:bottom w:val="none" w:sz="0" w:space="0" w:color="auto"/>
            <w:right w:val="none" w:sz="0" w:space="0" w:color="auto"/>
          </w:divBdr>
          <w:divsChild>
            <w:div w:id="19597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36199">
      <w:bodyDiv w:val="1"/>
      <w:marLeft w:val="0"/>
      <w:marRight w:val="0"/>
      <w:marTop w:val="0"/>
      <w:marBottom w:val="0"/>
      <w:divBdr>
        <w:top w:val="none" w:sz="0" w:space="0" w:color="auto"/>
        <w:left w:val="none" w:sz="0" w:space="0" w:color="auto"/>
        <w:bottom w:val="none" w:sz="0" w:space="0" w:color="auto"/>
        <w:right w:val="none" w:sz="0" w:space="0" w:color="auto"/>
      </w:divBdr>
    </w:div>
    <w:div w:id="1329559648">
      <w:bodyDiv w:val="1"/>
      <w:marLeft w:val="0"/>
      <w:marRight w:val="0"/>
      <w:marTop w:val="0"/>
      <w:marBottom w:val="0"/>
      <w:divBdr>
        <w:top w:val="none" w:sz="0" w:space="0" w:color="auto"/>
        <w:left w:val="none" w:sz="0" w:space="0" w:color="auto"/>
        <w:bottom w:val="none" w:sz="0" w:space="0" w:color="auto"/>
        <w:right w:val="none" w:sz="0" w:space="0" w:color="auto"/>
      </w:divBdr>
    </w:div>
    <w:div w:id="1331300023">
      <w:bodyDiv w:val="1"/>
      <w:marLeft w:val="0"/>
      <w:marRight w:val="0"/>
      <w:marTop w:val="0"/>
      <w:marBottom w:val="0"/>
      <w:divBdr>
        <w:top w:val="none" w:sz="0" w:space="0" w:color="auto"/>
        <w:left w:val="none" w:sz="0" w:space="0" w:color="auto"/>
        <w:bottom w:val="none" w:sz="0" w:space="0" w:color="auto"/>
        <w:right w:val="none" w:sz="0" w:space="0" w:color="auto"/>
      </w:divBdr>
    </w:div>
    <w:div w:id="1351907352">
      <w:bodyDiv w:val="1"/>
      <w:marLeft w:val="0"/>
      <w:marRight w:val="0"/>
      <w:marTop w:val="0"/>
      <w:marBottom w:val="0"/>
      <w:divBdr>
        <w:top w:val="none" w:sz="0" w:space="0" w:color="auto"/>
        <w:left w:val="none" w:sz="0" w:space="0" w:color="auto"/>
        <w:bottom w:val="none" w:sz="0" w:space="0" w:color="auto"/>
        <w:right w:val="none" w:sz="0" w:space="0" w:color="auto"/>
      </w:divBdr>
      <w:divsChild>
        <w:div w:id="990672569">
          <w:marLeft w:val="446"/>
          <w:marRight w:val="0"/>
          <w:marTop w:val="240"/>
          <w:marBottom w:val="240"/>
          <w:divBdr>
            <w:top w:val="none" w:sz="0" w:space="0" w:color="auto"/>
            <w:left w:val="none" w:sz="0" w:space="0" w:color="auto"/>
            <w:bottom w:val="none" w:sz="0" w:space="0" w:color="auto"/>
            <w:right w:val="none" w:sz="0" w:space="0" w:color="auto"/>
          </w:divBdr>
        </w:div>
      </w:divsChild>
    </w:div>
    <w:div w:id="1360275476">
      <w:bodyDiv w:val="1"/>
      <w:marLeft w:val="0"/>
      <w:marRight w:val="0"/>
      <w:marTop w:val="0"/>
      <w:marBottom w:val="0"/>
      <w:divBdr>
        <w:top w:val="none" w:sz="0" w:space="0" w:color="auto"/>
        <w:left w:val="none" w:sz="0" w:space="0" w:color="auto"/>
        <w:bottom w:val="none" w:sz="0" w:space="0" w:color="auto"/>
        <w:right w:val="none" w:sz="0" w:space="0" w:color="auto"/>
      </w:divBdr>
    </w:div>
    <w:div w:id="1364360565">
      <w:bodyDiv w:val="1"/>
      <w:marLeft w:val="0"/>
      <w:marRight w:val="0"/>
      <w:marTop w:val="0"/>
      <w:marBottom w:val="0"/>
      <w:divBdr>
        <w:top w:val="none" w:sz="0" w:space="0" w:color="auto"/>
        <w:left w:val="none" w:sz="0" w:space="0" w:color="auto"/>
        <w:bottom w:val="none" w:sz="0" w:space="0" w:color="auto"/>
        <w:right w:val="none" w:sz="0" w:space="0" w:color="auto"/>
      </w:divBdr>
      <w:divsChild>
        <w:div w:id="285703216">
          <w:marLeft w:val="0"/>
          <w:marRight w:val="0"/>
          <w:marTop w:val="0"/>
          <w:marBottom w:val="0"/>
          <w:divBdr>
            <w:top w:val="single" w:sz="2" w:space="0" w:color="D9D9E3"/>
            <w:left w:val="single" w:sz="2" w:space="0" w:color="D9D9E3"/>
            <w:bottom w:val="single" w:sz="2" w:space="0" w:color="D9D9E3"/>
            <w:right w:val="single" w:sz="2" w:space="0" w:color="D9D9E3"/>
          </w:divBdr>
          <w:divsChild>
            <w:div w:id="4887901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29145547">
          <w:marLeft w:val="0"/>
          <w:marRight w:val="0"/>
          <w:marTop w:val="0"/>
          <w:marBottom w:val="0"/>
          <w:divBdr>
            <w:top w:val="single" w:sz="2" w:space="0" w:color="D9D9E3"/>
            <w:left w:val="single" w:sz="2" w:space="0" w:color="D9D9E3"/>
            <w:bottom w:val="single" w:sz="2" w:space="0" w:color="D9D9E3"/>
            <w:right w:val="single" w:sz="2" w:space="0" w:color="D9D9E3"/>
          </w:divBdr>
          <w:divsChild>
            <w:div w:id="11198821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83597420">
      <w:bodyDiv w:val="1"/>
      <w:marLeft w:val="0"/>
      <w:marRight w:val="0"/>
      <w:marTop w:val="0"/>
      <w:marBottom w:val="0"/>
      <w:divBdr>
        <w:top w:val="none" w:sz="0" w:space="0" w:color="auto"/>
        <w:left w:val="none" w:sz="0" w:space="0" w:color="auto"/>
        <w:bottom w:val="none" w:sz="0" w:space="0" w:color="auto"/>
        <w:right w:val="none" w:sz="0" w:space="0" w:color="auto"/>
      </w:divBdr>
    </w:div>
    <w:div w:id="1391808468">
      <w:bodyDiv w:val="1"/>
      <w:marLeft w:val="0"/>
      <w:marRight w:val="0"/>
      <w:marTop w:val="0"/>
      <w:marBottom w:val="0"/>
      <w:divBdr>
        <w:top w:val="none" w:sz="0" w:space="0" w:color="auto"/>
        <w:left w:val="none" w:sz="0" w:space="0" w:color="auto"/>
        <w:bottom w:val="none" w:sz="0" w:space="0" w:color="auto"/>
        <w:right w:val="none" w:sz="0" w:space="0" w:color="auto"/>
      </w:divBdr>
    </w:div>
    <w:div w:id="1396969329">
      <w:bodyDiv w:val="1"/>
      <w:marLeft w:val="0"/>
      <w:marRight w:val="0"/>
      <w:marTop w:val="0"/>
      <w:marBottom w:val="0"/>
      <w:divBdr>
        <w:top w:val="none" w:sz="0" w:space="0" w:color="auto"/>
        <w:left w:val="none" w:sz="0" w:space="0" w:color="auto"/>
        <w:bottom w:val="none" w:sz="0" w:space="0" w:color="auto"/>
        <w:right w:val="none" w:sz="0" w:space="0" w:color="auto"/>
      </w:divBdr>
    </w:div>
    <w:div w:id="1403871742">
      <w:bodyDiv w:val="1"/>
      <w:marLeft w:val="0"/>
      <w:marRight w:val="0"/>
      <w:marTop w:val="0"/>
      <w:marBottom w:val="0"/>
      <w:divBdr>
        <w:top w:val="none" w:sz="0" w:space="0" w:color="auto"/>
        <w:left w:val="none" w:sz="0" w:space="0" w:color="auto"/>
        <w:bottom w:val="none" w:sz="0" w:space="0" w:color="auto"/>
        <w:right w:val="none" w:sz="0" w:space="0" w:color="auto"/>
      </w:divBdr>
    </w:div>
    <w:div w:id="1419323110">
      <w:bodyDiv w:val="1"/>
      <w:marLeft w:val="0"/>
      <w:marRight w:val="0"/>
      <w:marTop w:val="0"/>
      <w:marBottom w:val="0"/>
      <w:divBdr>
        <w:top w:val="none" w:sz="0" w:space="0" w:color="auto"/>
        <w:left w:val="none" w:sz="0" w:space="0" w:color="auto"/>
        <w:bottom w:val="none" w:sz="0" w:space="0" w:color="auto"/>
        <w:right w:val="none" w:sz="0" w:space="0" w:color="auto"/>
      </w:divBdr>
    </w:div>
    <w:div w:id="1430931357">
      <w:bodyDiv w:val="1"/>
      <w:marLeft w:val="0"/>
      <w:marRight w:val="0"/>
      <w:marTop w:val="0"/>
      <w:marBottom w:val="0"/>
      <w:divBdr>
        <w:top w:val="none" w:sz="0" w:space="0" w:color="auto"/>
        <w:left w:val="none" w:sz="0" w:space="0" w:color="auto"/>
        <w:bottom w:val="none" w:sz="0" w:space="0" w:color="auto"/>
        <w:right w:val="none" w:sz="0" w:space="0" w:color="auto"/>
      </w:divBdr>
    </w:div>
    <w:div w:id="1439527167">
      <w:bodyDiv w:val="1"/>
      <w:marLeft w:val="0"/>
      <w:marRight w:val="0"/>
      <w:marTop w:val="0"/>
      <w:marBottom w:val="0"/>
      <w:divBdr>
        <w:top w:val="none" w:sz="0" w:space="0" w:color="auto"/>
        <w:left w:val="none" w:sz="0" w:space="0" w:color="auto"/>
        <w:bottom w:val="none" w:sz="0" w:space="0" w:color="auto"/>
        <w:right w:val="none" w:sz="0" w:space="0" w:color="auto"/>
      </w:divBdr>
    </w:div>
    <w:div w:id="1440098354">
      <w:bodyDiv w:val="1"/>
      <w:marLeft w:val="0"/>
      <w:marRight w:val="0"/>
      <w:marTop w:val="0"/>
      <w:marBottom w:val="0"/>
      <w:divBdr>
        <w:top w:val="none" w:sz="0" w:space="0" w:color="auto"/>
        <w:left w:val="none" w:sz="0" w:space="0" w:color="auto"/>
        <w:bottom w:val="none" w:sz="0" w:space="0" w:color="auto"/>
        <w:right w:val="none" w:sz="0" w:space="0" w:color="auto"/>
      </w:divBdr>
    </w:div>
    <w:div w:id="1446075744">
      <w:bodyDiv w:val="1"/>
      <w:marLeft w:val="0"/>
      <w:marRight w:val="0"/>
      <w:marTop w:val="0"/>
      <w:marBottom w:val="0"/>
      <w:divBdr>
        <w:top w:val="none" w:sz="0" w:space="0" w:color="auto"/>
        <w:left w:val="none" w:sz="0" w:space="0" w:color="auto"/>
        <w:bottom w:val="none" w:sz="0" w:space="0" w:color="auto"/>
        <w:right w:val="none" w:sz="0" w:space="0" w:color="auto"/>
      </w:divBdr>
    </w:div>
    <w:div w:id="1455712506">
      <w:bodyDiv w:val="1"/>
      <w:marLeft w:val="0"/>
      <w:marRight w:val="0"/>
      <w:marTop w:val="0"/>
      <w:marBottom w:val="0"/>
      <w:divBdr>
        <w:top w:val="none" w:sz="0" w:space="0" w:color="auto"/>
        <w:left w:val="none" w:sz="0" w:space="0" w:color="auto"/>
        <w:bottom w:val="none" w:sz="0" w:space="0" w:color="auto"/>
        <w:right w:val="none" w:sz="0" w:space="0" w:color="auto"/>
      </w:divBdr>
      <w:divsChild>
        <w:div w:id="1254164556">
          <w:marLeft w:val="0"/>
          <w:marRight w:val="0"/>
          <w:marTop w:val="0"/>
          <w:marBottom w:val="0"/>
          <w:divBdr>
            <w:top w:val="none" w:sz="0" w:space="0" w:color="auto"/>
            <w:left w:val="none" w:sz="0" w:space="0" w:color="auto"/>
            <w:bottom w:val="none" w:sz="0" w:space="0" w:color="auto"/>
            <w:right w:val="none" w:sz="0" w:space="0" w:color="auto"/>
          </w:divBdr>
          <w:divsChild>
            <w:div w:id="43983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154725">
      <w:bodyDiv w:val="1"/>
      <w:marLeft w:val="0"/>
      <w:marRight w:val="0"/>
      <w:marTop w:val="0"/>
      <w:marBottom w:val="0"/>
      <w:divBdr>
        <w:top w:val="none" w:sz="0" w:space="0" w:color="auto"/>
        <w:left w:val="none" w:sz="0" w:space="0" w:color="auto"/>
        <w:bottom w:val="none" w:sz="0" w:space="0" w:color="auto"/>
        <w:right w:val="none" w:sz="0" w:space="0" w:color="auto"/>
      </w:divBdr>
    </w:div>
    <w:div w:id="1483887730">
      <w:bodyDiv w:val="1"/>
      <w:marLeft w:val="0"/>
      <w:marRight w:val="0"/>
      <w:marTop w:val="0"/>
      <w:marBottom w:val="0"/>
      <w:divBdr>
        <w:top w:val="none" w:sz="0" w:space="0" w:color="auto"/>
        <w:left w:val="none" w:sz="0" w:space="0" w:color="auto"/>
        <w:bottom w:val="none" w:sz="0" w:space="0" w:color="auto"/>
        <w:right w:val="none" w:sz="0" w:space="0" w:color="auto"/>
      </w:divBdr>
    </w:div>
    <w:div w:id="1500727569">
      <w:bodyDiv w:val="1"/>
      <w:marLeft w:val="0"/>
      <w:marRight w:val="0"/>
      <w:marTop w:val="0"/>
      <w:marBottom w:val="0"/>
      <w:divBdr>
        <w:top w:val="none" w:sz="0" w:space="0" w:color="auto"/>
        <w:left w:val="none" w:sz="0" w:space="0" w:color="auto"/>
        <w:bottom w:val="none" w:sz="0" w:space="0" w:color="auto"/>
        <w:right w:val="none" w:sz="0" w:space="0" w:color="auto"/>
      </w:divBdr>
      <w:divsChild>
        <w:div w:id="1485513092">
          <w:marLeft w:val="0"/>
          <w:marRight w:val="0"/>
          <w:marTop w:val="0"/>
          <w:marBottom w:val="0"/>
          <w:divBdr>
            <w:top w:val="none" w:sz="0" w:space="0" w:color="auto"/>
            <w:left w:val="none" w:sz="0" w:space="0" w:color="auto"/>
            <w:bottom w:val="none" w:sz="0" w:space="0" w:color="auto"/>
            <w:right w:val="none" w:sz="0" w:space="0" w:color="auto"/>
          </w:divBdr>
          <w:divsChild>
            <w:div w:id="206393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70807">
      <w:bodyDiv w:val="1"/>
      <w:marLeft w:val="0"/>
      <w:marRight w:val="0"/>
      <w:marTop w:val="0"/>
      <w:marBottom w:val="0"/>
      <w:divBdr>
        <w:top w:val="none" w:sz="0" w:space="0" w:color="auto"/>
        <w:left w:val="none" w:sz="0" w:space="0" w:color="auto"/>
        <w:bottom w:val="none" w:sz="0" w:space="0" w:color="auto"/>
        <w:right w:val="none" w:sz="0" w:space="0" w:color="auto"/>
      </w:divBdr>
    </w:div>
    <w:div w:id="1511138678">
      <w:bodyDiv w:val="1"/>
      <w:marLeft w:val="0"/>
      <w:marRight w:val="0"/>
      <w:marTop w:val="0"/>
      <w:marBottom w:val="0"/>
      <w:divBdr>
        <w:top w:val="none" w:sz="0" w:space="0" w:color="auto"/>
        <w:left w:val="none" w:sz="0" w:space="0" w:color="auto"/>
        <w:bottom w:val="none" w:sz="0" w:space="0" w:color="auto"/>
        <w:right w:val="none" w:sz="0" w:space="0" w:color="auto"/>
      </w:divBdr>
      <w:divsChild>
        <w:div w:id="340396607">
          <w:blockQuote w:val="1"/>
          <w:marLeft w:val="720"/>
          <w:marRight w:val="720"/>
          <w:marTop w:val="100"/>
          <w:marBottom w:val="100"/>
          <w:divBdr>
            <w:top w:val="none" w:sz="0" w:space="0" w:color="auto"/>
            <w:left w:val="none" w:sz="0" w:space="0" w:color="auto"/>
            <w:bottom w:val="none" w:sz="0" w:space="0" w:color="auto"/>
            <w:right w:val="none" w:sz="0" w:space="0" w:color="auto"/>
          </w:divBdr>
        </w:div>
        <w:div w:id="130832323">
          <w:blockQuote w:val="1"/>
          <w:marLeft w:val="720"/>
          <w:marRight w:val="720"/>
          <w:marTop w:val="100"/>
          <w:marBottom w:val="100"/>
          <w:divBdr>
            <w:top w:val="none" w:sz="0" w:space="0" w:color="auto"/>
            <w:left w:val="none" w:sz="0" w:space="0" w:color="auto"/>
            <w:bottom w:val="none" w:sz="0" w:space="0" w:color="auto"/>
            <w:right w:val="none" w:sz="0" w:space="0" w:color="auto"/>
          </w:divBdr>
        </w:div>
        <w:div w:id="1773671177">
          <w:blockQuote w:val="1"/>
          <w:marLeft w:val="720"/>
          <w:marRight w:val="720"/>
          <w:marTop w:val="100"/>
          <w:marBottom w:val="100"/>
          <w:divBdr>
            <w:top w:val="none" w:sz="0" w:space="0" w:color="auto"/>
            <w:left w:val="none" w:sz="0" w:space="0" w:color="auto"/>
            <w:bottom w:val="none" w:sz="0" w:space="0" w:color="auto"/>
            <w:right w:val="none" w:sz="0" w:space="0" w:color="auto"/>
          </w:divBdr>
        </w:div>
        <w:div w:id="8291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6820479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4875770">
      <w:bodyDiv w:val="1"/>
      <w:marLeft w:val="0"/>
      <w:marRight w:val="0"/>
      <w:marTop w:val="0"/>
      <w:marBottom w:val="0"/>
      <w:divBdr>
        <w:top w:val="none" w:sz="0" w:space="0" w:color="auto"/>
        <w:left w:val="none" w:sz="0" w:space="0" w:color="auto"/>
        <w:bottom w:val="none" w:sz="0" w:space="0" w:color="auto"/>
        <w:right w:val="none" w:sz="0" w:space="0" w:color="auto"/>
      </w:divBdr>
    </w:div>
    <w:div w:id="1533955559">
      <w:bodyDiv w:val="1"/>
      <w:marLeft w:val="0"/>
      <w:marRight w:val="0"/>
      <w:marTop w:val="0"/>
      <w:marBottom w:val="0"/>
      <w:divBdr>
        <w:top w:val="none" w:sz="0" w:space="0" w:color="auto"/>
        <w:left w:val="none" w:sz="0" w:space="0" w:color="auto"/>
        <w:bottom w:val="none" w:sz="0" w:space="0" w:color="auto"/>
        <w:right w:val="none" w:sz="0" w:space="0" w:color="auto"/>
      </w:divBdr>
    </w:div>
    <w:div w:id="1535771634">
      <w:bodyDiv w:val="1"/>
      <w:marLeft w:val="0"/>
      <w:marRight w:val="0"/>
      <w:marTop w:val="0"/>
      <w:marBottom w:val="0"/>
      <w:divBdr>
        <w:top w:val="none" w:sz="0" w:space="0" w:color="auto"/>
        <w:left w:val="none" w:sz="0" w:space="0" w:color="auto"/>
        <w:bottom w:val="none" w:sz="0" w:space="0" w:color="auto"/>
        <w:right w:val="none" w:sz="0" w:space="0" w:color="auto"/>
      </w:divBdr>
    </w:div>
    <w:div w:id="1543976926">
      <w:bodyDiv w:val="1"/>
      <w:marLeft w:val="0"/>
      <w:marRight w:val="0"/>
      <w:marTop w:val="0"/>
      <w:marBottom w:val="0"/>
      <w:divBdr>
        <w:top w:val="none" w:sz="0" w:space="0" w:color="auto"/>
        <w:left w:val="none" w:sz="0" w:space="0" w:color="auto"/>
        <w:bottom w:val="none" w:sz="0" w:space="0" w:color="auto"/>
        <w:right w:val="none" w:sz="0" w:space="0" w:color="auto"/>
      </w:divBdr>
    </w:div>
    <w:div w:id="1546332838">
      <w:bodyDiv w:val="1"/>
      <w:marLeft w:val="0"/>
      <w:marRight w:val="0"/>
      <w:marTop w:val="0"/>
      <w:marBottom w:val="0"/>
      <w:divBdr>
        <w:top w:val="none" w:sz="0" w:space="0" w:color="auto"/>
        <w:left w:val="none" w:sz="0" w:space="0" w:color="auto"/>
        <w:bottom w:val="none" w:sz="0" w:space="0" w:color="auto"/>
        <w:right w:val="none" w:sz="0" w:space="0" w:color="auto"/>
      </w:divBdr>
      <w:divsChild>
        <w:div w:id="1789352592">
          <w:marLeft w:val="0"/>
          <w:marRight w:val="0"/>
          <w:marTop w:val="0"/>
          <w:marBottom w:val="0"/>
          <w:divBdr>
            <w:top w:val="single" w:sz="2" w:space="0" w:color="D9D9E3"/>
            <w:left w:val="single" w:sz="2" w:space="0" w:color="D9D9E3"/>
            <w:bottom w:val="single" w:sz="2" w:space="0" w:color="D9D9E3"/>
            <w:right w:val="single" w:sz="2" w:space="0" w:color="D9D9E3"/>
          </w:divBdr>
          <w:divsChild>
            <w:div w:id="160681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058240386">
          <w:marLeft w:val="0"/>
          <w:marRight w:val="0"/>
          <w:marTop w:val="0"/>
          <w:marBottom w:val="0"/>
          <w:divBdr>
            <w:top w:val="single" w:sz="2" w:space="0" w:color="D9D9E3"/>
            <w:left w:val="single" w:sz="2" w:space="0" w:color="D9D9E3"/>
            <w:bottom w:val="single" w:sz="2" w:space="0" w:color="D9D9E3"/>
            <w:right w:val="single" w:sz="2" w:space="0" w:color="D9D9E3"/>
          </w:divBdr>
          <w:divsChild>
            <w:div w:id="19091504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46916595">
      <w:bodyDiv w:val="1"/>
      <w:marLeft w:val="0"/>
      <w:marRight w:val="0"/>
      <w:marTop w:val="0"/>
      <w:marBottom w:val="0"/>
      <w:divBdr>
        <w:top w:val="none" w:sz="0" w:space="0" w:color="auto"/>
        <w:left w:val="none" w:sz="0" w:space="0" w:color="auto"/>
        <w:bottom w:val="none" w:sz="0" w:space="0" w:color="auto"/>
        <w:right w:val="none" w:sz="0" w:space="0" w:color="auto"/>
      </w:divBdr>
    </w:div>
    <w:div w:id="1561282516">
      <w:bodyDiv w:val="1"/>
      <w:marLeft w:val="0"/>
      <w:marRight w:val="0"/>
      <w:marTop w:val="0"/>
      <w:marBottom w:val="0"/>
      <w:divBdr>
        <w:top w:val="none" w:sz="0" w:space="0" w:color="auto"/>
        <w:left w:val="none" w:sz="0" w:space="0" w:color="auto"/>
        <w:bottom w:val="none" w:sz="0" w:space="0" w:color="auto"/>
        <w:right w:val="none" w:sz="0" w:space="0" w:color="auto"/>
      </w:divBdr>
    </w:div>
    <w:div w:id="1563298497">
      <w:bodyDiv w:val="1"/>
      <w:marLeft w:val="0"/>
      <w:marRight w:val="0"/>
      <w:marTop w:val="0"/>
      <w:marBottom w:val="0"/>
      <w:divBdr>
        <w:top w:val="none" w:sz="0" w:space="0" w:color="auto"/>
        <w:left w:val="none" w:sz="0" w:space="0" w:color="auto"/>
        <w:bottom w:val="none" w:sz="0" w:space="0" w:color="auto"/>
        <w:right w:val="none" w:sz="0" w:space="0" w:color="auto"/>
      </w:divBdr>
    </w:div>
    <w:div w:id="1570919323">
      <w:bodyDiv w:val="1"/>
      <w:marLeft w:val="0"/>
      <w:marRight w:val="0"/>
      <w:marTop w:val="0"/>
      <w:marBottom w:val="0"/>
      <w:divBdr>
        <w:top w:val="none" w:sz="0" w:space="0" w:color="auto"/>
        <w:left w:val="none" w:sz="0" w:space="0" w:color="auto"/>
        <w:bottom w:val="none" w:sz="0" w:space="0" w:color="auto"/>
        <w:right w:val="none" w:sz="0" w:space="0" w:color="auto"/>
      </w:divBdr>
    </w:div>
    <w:div w:id="1576862082">
      <w:bodyDiv w:val="1"/>
      <w:marLeft w:val="0"/>
      <w:marRight w:val="0"/>
      <w:marTop w:val="0"/>
      <w:marBottom w:val="0"/>
      <w:divBdr>
        <w:top w:val="none" w:sz="0" w:space="0" w:color="auto"/>
        <w:left w:val="none" w:sz="0" w:space="0" w:color="auto"/>
        <w:bottom w:val="none" w:sz="0" w:space="0" w:color="auto"/>
        <w:right w:val="none" w:sz="0" w:space="0" w:color="auto"/>
      </w:divBdr>
    </w:div>
    <w:div w:id="1584295856">
      <w:bodyDiv w:val="1"/>
      <w:marLeft w:val="0"/>
      <w:marRight w:val="0"/>
      <w:marTop w:val="0"/>
      <w:marBottom w:val="0"/>
      <w:divBdr>
        <w:top w:val="none" w:sz="0" w:space="0" w:color="auto"/>
        <w:left w:val="none" w:sz="0" w:space="0" w:color="auto"/>
        <w:bottom w:val="none" w:sz="0" w:space="0" w:color="auto"/>
        <w:right w:val="none" w:sz="0" w:space="0" w:color="auto"/>
      </w:divBdr>
    </w:div>
    <w:div w:id="1590849613">
      <w:bodyDiv w:val="1"/>
      <w:marLeft w:val="0"/>
      <w:marRight w:val="0"/>
      <w:marTop w:val="0"/>
      <w:marBottom w:val="0"/>
      <w:divBdr>
        <w:top w:val="none" w:sz="0" w:space="0" w:color="auto"/>
        <w:left w:val="none" w:sz="0" w:space="0" w:color="auto"/>
        <w:bottom w:val="none" w:sz="0" w:space="0" w:color="auto"/>
        <w:right w:val="none" w:sz="0" w:space="0" w:color="auto"/>
      </w:divBdr>
    </w:div>
    <w:div w:id="1599481869">
      <w:bodyDiv w:val="1"/>
      <w:marLeft w:val="0"/>
      <w:marRight w:val="0"/>
      <w:marTop w:val="0"/>
      <w:marBottom w:val="0"/>
      <w:divBdr>
        <w:top w:val="none" w:sz="0" w:space="0" w:color="auto"/>
        <w:left w:val="none" w:sz="0" w:space="0" w:color="auto"/>
        <w:bottom w:val="none" w:sz="0" w:space="0" w:color="auto"/>
        <w:right w:val="none" w:sz="0" w:space="0" w:color="auto"/>
      </w:divBdr>
    </w:div>
    <w:div w:id="1613710944">
      <w:bodyDiv w:val="1"/>
      <w:marLeft w:val="0"/>
      <w:marRight w:val="0"/>
      <w:marTop w:val="0"/>
      <w:marBottom w:val="0"/>
      <w:divBdr>
        <w:top w:val="none" w:sz="0" w:space="0" w:color="auto"/>
        <w:left w:val="none" w:sz="0" w:space="0" w:color="auto"/>
        <w:bottom w:val="none" w:sz="0" w:space="0" w:color="auto"/>
        <w:right w:val="none" w:sz="0" w:space="0" w:color="auto"/>
      </w:divBdr>
      <w:divsChild>
        <w:div w:id="317807500">
          <w:marLeft w:val="0"/>
          <w:marRight w:val="0"/>
          <w:marTop w:val="0"/>
          <w:marBottom w:val="0"/>
          <w:divBdr>
            <w:top w:val="none" w:sz="0" w:space="0" w:color="auto"/>
            <w:left w:val="none" w:sz="0" w:space="0" w:color="auto"/>
            <w:bottom w:val="none" w:sz="0" w:space="0" w:color="auto"/>
            <w:right w:val="none" w:sz="0" w:space="0" w:color="auto"/>
          </w:divBdr>
          <w:divsChild>
            <w:div w:id="172457673">
              <w:marLeft w:val="0"/>
              <w:marRight w:val="0"/>
              <w:marTop w:val="0"/>
              <w:marBottom w:val="0"/>
              <w:divBdr>
                <w:top w:val="none" w:sz="0" w:space="0" w:color="auto"/>
                <w:left w:val="none" w:sz="0" w:space="0" w:color="auto"/>
                <w:bottom w:val="none" w:sz="0" w:space="0" w:color="auto"/>
                <w:right w:val="none" w:sz="0" w:space="0" w:color="auto"/>
              </w:divBdr>
            </w:div>
          </w:divsChild>
        </w:div>
        <w:div w:id="396317267">
          <w:marLeft w:val="0"/>
          <w:marRight w:val="0"/>
          <w:marTop w:val="0"/>
          <w:marBottom w:val="0"/>
          <w:divBdr>
            <w:top w:val="none" w:sz="0" w:space="0" w:color="auto"/>
            <w:left w:val="none" w:sz="0" w:space="0" w:color="auto"/>
            <w:bottom w:val="none" w:sz="0" w:space="0" w:color="auto"/>
            <w:right w:val="none" w:sz="0" w:space="0" w:color="auto"/>
          </w:divBdr>
          <w:divsChild>
            <w:div w:id="83430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424257">
      <w:bodyDiv w:val="1"/>
      <w:marLeft w:val="0"/>
      <w:marRight w:val="0"/>
      <w:marTop w:val="0"/>
      <w:marBottom w:val="0"/>
      <w:divBdr>
        <w:top w:val="none" w:sz="0" w:space="0" w:color="auto"/>
        <w:left w:val="none" w:sz="0" w:space="0" w:color="auto"/>
        <w:bottom w:val="none" w:sz="0" w:space="0" w:color="auto"/>
        <w:right w:val="none" w:sz="0" w:space="0" w:color="auto"/>
      </w:divBdr>
    </w:div>
    <w:div w:id="1644264604">
      <w:bodyDiv w:val="1"/>
      <w:marLeft w:val="0"/>
      <w:marRight w:val="0"/>
      <w:marTop w:val="0"/>
      <w:marBottom w:val="0"/>
      <w:divBdr>
        <w:top w:val="none" w:sz="0" w:space="0" w:color="auto"/>
        <w:left w:val="none" w:sz="0" w:space="0" w:color="auto"/>
        <w:bottom w:val="none" w:sz="0" w:space="0" w:color="auto"/>
        <w:right w:val="none" w:sz="0" w:space="0" w:color="auto"/>
      </w:divBdr>
    </w:div>
    <w:div w:id="1655068437">
      <w:bodyDiv w:val="1"/>
      <w:marLeft w:val="0"/>
      <w:marRight w:val="0"/>
      <w:marTop w:val="0"/>
      <w:marBottom w:val="0"/>
      <w:divBdr>
        <w:top w:val="none" w:sz="0" w:space="0" w:color="auto"/>
        <w:left w:val="none" w:sz="0" w:space="0" w:color="auto"/>
        <w:bottom w:val="none" w:sz="0" w:space="0" w:color="auto"/>
        <w:right w:val="none" w:sz="0" w:space="0" w:color="auto"/>
      </w:divBdr>
    </w:div>
    <w:div w:id="1661539779">
      <w:bodyDiv w:val="1"/>
      <w:marLeft w:val="0"/>
      <w:marRight w:val="0"/>
      <w:marTop w:val="0"/>
      <w:marBottom w:val="0"/>
      <w:divBdr>
        <w:top w:val="none" w:sz="0" w:space="0" w:color="auto"/>
        <w:left w:val="none" w:sz="0" w:space="0" w:color="auto"/>
        <w:bottom w:val="none" w:sz="0" w:space="0" w:color="auto"/>
        <w:right w:val="none" w:sz="0" w:space="0" w:color="auto"/>
      </w:divBdr>
    </w:div>
    <w:div w:id="1666591430">
      <w:bodyDiv w:val="1"/>
      <w:marLeft w:val="0"/>
      <w:marRight w:val="0"/>
      <w:marTop w:val="0"/>
      <w:marBottom w:val="0"/>
      <w:divBdr>
        <w:top w:val="none" w:sz="0" w:space="0" w:color="auto"/>
        <w:left w:val="none" w:sz="0" w:space="0" w:color="auto"/>
        <w:bottom w:val="none" w:sz="0" w:space="0" w:color="auto"/>
        <w:right w:val="none" w:sz="0" w:space="0" w:color="auto"/>
      </w:divBdr>
    </w:div>
    <w:div w:id="1668751187">
      <w:bodyDiv w:val="1"/>
      <w:marLeft w:val="0"/>
      <w:marRight w:val="0"/>
      <w:marTop w:val="0"/>
      <w:marBottom w:val="0"/>
      <w:divBdr>
        <w:top w:val="none" w:sz="0" w:space="0" w:color="auto"/>
        <w:left w:val="none" w:sz="0" w:space="0" w:color="auto"/>
        <w:bottom w:val="none" w:sz="0" w:space="0" w:color="auto"/>
        <w:right w:val="none" w:sz="0" w:space="0" w:color="auto"/>
      </w:divBdr>
    </w:div>
    <w:div w:id="1670524044">
      <w:bodyDiv w:val="1"/>
      <w:marLeft w:val="0"/>
      <w:marRight w:val="0"/>
      <w:marTop w:val="0"/>
      <w:marBottom w:val="0"/>
      <w:divBdr>
        <w:top w:val="none" w:sz="0" w:space="0" w:color="auto"/>
        <w:left w:val="none" w:sz="0" w:space="0" w:color="auto"/>
        <w:bottom w:val="none" w:sz="0" w:space="0" w:color="auto"/>
        <w:right w:val="none" w:sz="0" w:space="0" w:color="auto"/>
      </w:divBdr>
    </w:div>
    <w:div w:id="1672681465">
      <w:bodyDiv w:val="1"/>
      <w:marLeft w:val="0"/>
      <w:marRight w:val="0"/>
      <w:marTop w:val="0"/>
      <w:marBottom w:val="0"/>
      <w:divBdr>
        <w:top w:val="none" w:sz="0" w:space="0" w:color="auto"/>
        <w:left w:val="none" w:sz="0" w:space="0" w:color="auto"/>
        <w:bottom w:val="none" w:sz="0" w:space="0" w:color="auto"/>
        <w:right w:val="none" w:sz="0" w:space="0" w:color="auto"/>
      </w:divBdr>
    </w:div>
    <w:div w:id="1674838342">
      <w:bodyDiv w:val="1"/>
      <w:marLeft w:val="0"/>
      <w:marRight w:val="0"/>
      <w:marTop w:val="0"/>
      <w:marBottom w:val="0"/>
      <w:divBdr>
        <w:top w:val="none" w:sz="0" w:space="0" w:color="auto"/>
        <w:left w:val="none" w:sz="0" w:space="0" w:color="auto"/>
        <w:bottom w:val="none" w:sz="0" w:space="0" w:color="auto"/>
        <w:right w:val="none" w:sz="0" w:space="0" w:color="auto"/>
      </w:divBdr>
    </w:div>
    <w:div w:id="1674843135">
      <w:bodyDiv w:val="1"/>
      <w:marLeft w:val="0"/>
      <w:marRight w:val="0"/>
      <w:marTop w:val="0"/>
      <w:marBottom w:val="0"/>
      <w:divBdr>
        <w:top w:val="none" w:sz="0" w:space="0" w:color="auto"/>
        <w:left w:val="none" w:sz="0" w:space="0" w:color="auto"/>
        <w:bottom w:val="none" w:sz="0" w:space="0" w:color="auto"/>
        <w:right w:val="none" w:sz="0" w:space="0" w:color="auto"/>
      </w:divBdr>
    </w:div>
    <w:div w:id="1677223351">
      <w:bodyDiv w:val="1"/>
      <w:marLeft w:val="0"/>
      <w:marRight w:val="0"/>
      <w:marTop w:val="0"/>
      <w:marBottom w:val="0"/>
      <w:divBdr>
        <w:top w:val="none" w:sz="0" w:space="0" w:color="auto"/>
        <w:left w:val="none" w:sz="0" w:space="0" w:color="auto"/>
        <w:bottom w:val="none" w:sz="0" w:space="0" w:color="auto"/>
        <w:right w:val="none" w:sz="0" w:space="0" w:color="auto"/>
      </w:divBdr>
    </w:div>
    <w:div w:id="1715764595">
      <w:bodyDiv w:val="1"/>
      <w:marLeft w:val="0"/>
      <w:marRight w:val="0"/>
      <w:marTop w:val="0"/>
      <w:marBottom w:val="0"/>
      <w:divBdr>
        <w:top w:val="none" w:sz="0" w:space="0" w:color="auto"/>
        <w:left w:val="none" w:sz="0" w:space="0" w:color="auto"/>
        <w:bottom w:val="none" w:sz="0" w:space="0" w:color="auto"/>
        <w:right w:val="none" w:sz="0" w:space="0" w:color="auto"/>
      </w:divBdr>
      <w:divsChild>
        <w:div w:id="752316765">
          <w:marLeft w:val="0"/>
          <w:marRight w:val="0"/>
          <w:marTop w:val="0"/>
          <w:marBottom w:val="0"/>
          <w:divBdr>
            <w:top w:val="none" w:sz="0" w:space="0" w:color="auto"/>
            <w:left w:val="none" w:sz="0" w:space="0" w:color="auto"/>
            <w:bottom w:val="none" w:sz="0" w:space="0" w:color="auto"/>
            <w:right w:val="none" w:sz="0" w:space="0" w:color="auto"/>
          </w:divBdr>
          <w:divsChild>
            <w:div w:id="1757558449">
              <w:marLeft w:val="0"/>
              <w:marRight w:val="0"/>
              <w:marTop w:val="0"/>
              <w:marBottom w:val="0"/>
              <w:divBdr>
                <w:top w:val="none" w:sz="0" w:space="0" w:color="auto"/>
                <w:left w:val="none" w:sz="0" w:space="0" w:color="auto"/>
                <w:bottom w:val="none" w:sz="0" w:space="0" w:color="auto"/>
                <w:right w:val="none" w:sz="0" w:space="0" w:color="auto"/>
              </w:divBdr>
            </w:div>
          </w:divsChild>
        </w:div>
        <w:div w:id="2076080646">
          <w:marLeft w:val="0"/>
          <w:marRight w:val="0"/>
          <w:marTop w:val="0"/>
          <w:marBottom w:val="0"/>
          <w:divBdr>
            <w:top w:val="none" w:sz="0" w:space="0" w:color="auto"/>
            <w:left w:val="none" w:sz="0" w:space="0" w:color="auto"/>
            <w:bottom w:val="none" w:sz="0" w:space="0" w:color="auto"/>
            <w:right w:val="none" w:sz="0" w:space="0" w:color="auto"/>
          </w:divBdr>
          <w:divsChild>
            <w:div w:id="58754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88703">
      <w:bodyDiv w:val="1"/>
      <w:marLeft w:val="0"/>
      <w:marRight w:val="0"/>
      <w:marTop w:val="0"/>
      <w:marBottom w:val="0"/>
      <w:divBdr>
        <w:top w:val="none" w:sz="0" w:space="0" w:color="auto"/>
        <w:left w:val="none" w:sz="0" w:space="0" w:color="auto"/>
        <w:bottom w:val="none" w:sz="0" w:space="0" w:color="auto"/>
        <w:right w:val="none" w:sz="0" w:space="0" w:color="auto"/>
      </w:divBdr>
    </w:div>
    <w:div w:id="1778793284">
      <w:bodyDiv w:val="1"/>
      <w:marLeft w:val="0"/>
      <w:marRight w:val="0"/>
      <w:marTop w:val="0"/>
      <w:marBottom w:val="0"/>
      <w:divBdr>
        <w:top w:val="none" w:sz="0" w:space="0" w:color="auto"/>
        <w:left w:val="none" w:sz="0" w:space="0" w:color="auto"/>
        <w:bottom w:val="none" w:sz="0" w:space="0" w:color="auto"/>
        <w:right w:val="none" w:sz="0" w:space="0" w:color="auto"/>
      </w:divBdr>
    </w:div>
    <w:div w:id="1779252562">
      <w:bodyDiv w:val="1"/>
      <w:marLeft w:val="0"/>
      <w:marRight w:val="0"/>
      <w:marTop w:val="0"/>
      <w:marBottom w:val="0"/>
      <w:divBdr>
        <w:top w:val="none" w:sz="0" w:space="0" w:color="auto"/>
        <w:left w:val="none" w:sz="0" w:space="0" w:color="auto"/>
        <w:bottom w:val="none" w:sz="0" w:space="0" w:color="auto"/>
        <w:right w:val="none" w:sz="0" w:space="0" w:color="auto"/>
      </w:divBdr>
      <w:divsChild>
        <w:div w:id="1015111422">
          <w:marLeft w:val="0"/>
          <w:marRight w:val="0"/>
          <w:marTop w:val="0"/>
          <w:marBottom w:val="0"/>
          <w:divBdr>
            <w:top w:val="none" w:sz="0" w:space="0" w:color="auto"/>
            <w:left w:val="none" w:sz="0" w:space="0" w:color="auto"/>
            <w:bottom w:val="none" w:sz="0" w:space="0" w:color="auto"/>
            <w:right w:val="none" w:sz="0" w:space="0" w:color="auto"/>
          </w:divBdr>
          <w:divsChild>
            <w:div w:id="3454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644379">
      <w:bodyDiv w:val="1"/>
      <w:marLeft w:val="0"/>
      <w:marRight w:val="0"/>
      <w:marTop w:val="0"/>
      <w:marBottom w:val="0"/>
      <w:divBdr>
        <w:top w:val="none" w:sz="0" w:space="0" w:color="auto"/>
        <w:left w:val="none" w:sz="0" w:space="0" w:color="auto"/>
        <w:bottom w:val="none" w:sz="0" w:space="0" w:color="auto"/>
        <w:right w:val="none" w:sz="0" w:space="0" w:color="auto"/>
      </w:divBdr>
    </w:div>
    <w:div w:id="1800490743">
      <w:bodyDiv w:val="1"/>
      <w:marLeft w:val="0"/>
      <w:marRight w:val="0"/>
      <w:marTop w:val="0"/>
      <w:marBottom w:val="0"/>
      <w:divBdr>
        <w:top w:val="none" w:sz="0" w:space="0" w:color="auto"/>
        <w:left w:val="none" w:sz="0" w:space="0" w:color="auto"/>
        <w:bottom w:val="none" w:sz="0" w:space="0" w:color="auto"/>
        <w:right w:val="none" w:sz="0" w:space="0" w:color="auto"/>
      </w:divBdr>
      <w:divsChild>
        <w:div w:id="363944462">
          <w:marLeft w:val="0"/>
          <w:marRight w:val="0"/>
          <w:marTop w:val="0"/>
          <w:marBottom w:val="0"/>
          <w:divBdr>
            <w:top w:val="none" w:sz="0" w:space="0" w:color="auto"/>
            <w:left w:val="none" w:sz="0" w:space="0" w:color="auto"/>
            <w:bottom w:val="none" w:sz="0" w:space="0" w:color="auto"/>
            <w:right w:val="none" w:sz="0" w:space="0" w:color="auto"/>
          </w:divBdr>
          <w:divsChild>
            <w:div w:id="69673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522715">
      <w:bodyDiv w:val="1"/>
      <w:marLeft w:val="0"/>
      <w:marRight w:val="0"/>
      <w:marTop w:val="0"/>
      <w:marBottom w:val="0"/>
      <w:divBdr>
        <w:top w:val="none" w:sz="0" w:space="0" w:color="auto"/>
        <w:left w:val="none" w:sz="0" w:space="0" w:color="auto"/>
        <w:bottom w:val="none" w:sz="0" w:space="0" w:color="auto"/>
        <w:right w:val="none" w:sz="0" w:space="0" w:color="auto"/>
      </w:divBdr>
      <w:divsChild>
        <w:div w:id="312832548">
          <w:marLeft w:val="0"/>
          <w:marRight w:val="0"/>
          <w:marTop w:val="0"/>
          <w:marBottom w:val="0"/>
          <w:divBdr>
            <w:top w:val="none" w:sz="0" w:space="0" w:color="auto"/>
            <w:left w:val="none" w:sz="0" w:space="0" w:color="auto"/>
            <w:bottom w:val="none" w:sz="0" w:space="0" w:color="auto"/>
            <w:right w:val="none" w:sz="0" w:space="0" w:color="auto"/>
          </w:divBdr>
          <w:divsChild>
            <w:div w:id="995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425717">
      <w:bodyDiv w:val="1"/>
      <w:marLeft w:val="0"/>
      <w:marRight w:val="0"/>
      <w:marTop w:val="0"/>
      <w:marBottom w:val="0"/>
      <w:divBdr>
        <w:top w:val="none" w:sz="0" w:space="0" w:color="auto"/>
        <w:left w:val="none" w:sz="0" w:space="0" w:color="auto"/>
        <w:bottom w:val="none" w:sz="0" w:space="0" w:color="auto"/>
        <w:right w:val="none" w:sz="0" w:space="0" w:color="auto"/>
      </w:divBdr>
    </w:div>
    <w:div w:id="1822768021">
      <w:bodyDiv w:val="1"/>
      <w:marLeft w:val="0"/>
      <w:marRight w:val="0"/>
      <w:marTop w:val="0"/>
      <w:marBottom w:val="0"/>
      <w:divBdr>
        <w:top w:val="none" w:sz="0" w:space="0" w:color="auto"/>
        <w:left w:val="none" w:sz="0" w:space="0" w:color="auto"/>
        <w:bottom w:val="none" w:sz="0" w:space="0" w:color="auto"/>
        <w:right w:val="none" w:sz="0" w:space="0" w:color="auto"/>
      </w:divBdr>
    </w:div>
    <w:div w:id="1823814644">
      <w:bodyDiv w:val="1"/>
      <w:marLeft w:val="0"/>
      <w:marRight w:val="0"/>
      <w:marTop w:val="0"/>
      <w:marBottom w:val="0"/>
      <w:divBdr>
        <w:top w:val="none" w:sz="0" w:space="0" w:color="auto"/>
        <w:left w:val="none" w:sz="0" w:space="0" w:color="auto"/>
        <w:bottom w:val="none" w:sz="0" w:space="0" w:color="auto"/>
        <w:right w:val="none" w:sz="0" w:space="0" w:color="auto"/>
      </w:divBdr>
    </w:div>
    <w:div w:id="1826193137">
      <w:bodyDiv w:val="1"/>
      <w:marLeft w:val="0"/>
      <w:marRight w:val="0"/>
      <w:marTop w:val="0"/>
      <w:marBottom w:val="0"/>
      <w:divBdr>
        <w:top w:val="none" w:sz="0" w:space="0" w:color="auto"/>
        <w:left w:val="none" w:sz="0" w:space="0" w:color="auto"/>
        <w:bottom w:val="none" w:sz="0" w:space="0" w:color="auto"/>
        <w:right w:val="none" w:sz="0" w:space="0" w:color="auto"/>
      </w:divBdr>
    </w:div>
    <w:div w:id="1832523324">
      <w:bodyDiv w:val="1"/>
      <w:marLeft w:val="0"/>
      <w:marRight w:val="0"/>
      <w:marTop w:val="0"/>
      <w:marBottom w:val="0"/>
      <w:divBdr>
        <w:top w:val="none" w:sz="0" w:space="0" w:color="auto"/>
        <w:left w:val="none" w:sz="0" w:space="0" w:color="auto"/>
        <w:bottom w:val="none" w:sz="0" w:space="0" w:color="auto"/>
        <w:right w:val="none" w:sz="0" w:space="0" w:color="auto"/>
      </w:divBdr>
    </w:div>
    <w:div w:id="1849443196">
      <w:bodyDiv w:val="1"/>
      <w:marLeft w:val="0"/>
      <w:marRight w:val="0"/>
      <w:marTop w:val="0"/>
      <w:marBottom w:val="0"/>
      <w:divBdr>
        <w:top w:val="none" w:sz="0" w:space="0" w:color="auto"/>
        <w:left w:val="none" w:sz="0" w:space="0" w:color="auto"/>
        <w:bottom w:val="none" w:sz="0" w:space="0" w:color="auto"/>
        <w:right w:val="none" w:sz="0" w:space="0" w:color="auto"/>
      </w:divBdr>
      <w:divsChild>
        <w:div w:id="426270079">
          <w:marLeft w:val="0"/>
          <w:marRight w:val="0"/>
          <w:marTop w:val="0"/>
          <w:marBottom w:val="0"/>
          <w:divBdr>
            <w:top w:val="none" w:sz="0" w:space="0" w:color="auto"/>
            <w:left w:val="none" w:sz="0" w:space="0" w:color="auto"/>
            <w:bottom w:val="none" w:sz="0" w:space="0" w:color="auto"/>
            <w:right w:val="none" w:sz="0" w:space="0" w:color="auto"/>
          </w:divBdr>
          <w:divsChild>
            <w:div w:id="189543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417717">
      <w:bodyDiv w:val="1"/>
      <w:marLeft w:val="0"/>
      <w:marRight w:val="0"/>
      <w:marTop w:val="0"/>
      <w:marBottom w:val="0"/>
      <w:divBdr>
        <w:top w:val="none" w:sz="0" w:space="0" w:color="auto"/>
        <w:left w:val="none" w:sz="0" w:space="0" w:color="auto"/>
        <w:bottom w:val="none" w:sz="0" w:space="0" w:color="auto"/>
        <w:right w:val="none" w:sz="0" w:space="0" w:color="auto"/>
      </w:divBdr>
    </w:div>
    <w:div w:id="1866793208">
      <w:bodyDiv w:val="1"/>
      <w:marLeft w:val="0"/>
      <w:marRight w:val="0"/>
      <w:marTop w:val="0"/>
      <w:marBottom w:val="0"/>
      <w:divBdr>
        <w:top w:val="none" w:sz="0" w:space="0" w:color="auto"/>
        <w:left w:val="none" w:sz="0" w:space="0" w:color="auto"/>
        <w:bottom w:val="none" w:sz="0" w:space="0" w:color="auto"/>
        <w:right w:val="none" w:sz="0" w:space="0" w:color="auto"/>
      </w:divBdr>
    </w:div>
    <w:div w:id="1874734062">
      <w:bodyDiv w:val="1"/>
      <w:marLeft w:val="0"/>
      <w:marRight w:val="0"/>
      <w:marTop w:val="0"/>
      <w:marBottom w:val="0"/>
      <w:divBdr>
        <w:top w:val="none" w:sz="0" w:space="0" w:color="auto"/>
        <w:left w:val="none" w:sz="0" w:space="0" w:color="auto"/>
        <w:bottom w:val="none" w:sz="0" w:space="0" w:color="auto"/>
        <w:right w:val="none" w:sz="0" w:space="0" w:color="auto"/>
      </w:divBdr>
    </w:div>
    <w:div w:id="1879514350">
      <w:bodyDiv w:val="1"/>
      <w:marLeft w:val="0"/>
      <w:marRight w:val="0"/>
      <w:marTop w:val="0"/>
      <w:marBottom w:val="0"/>
      <w:divBdr>
        <w:top w:val="none" w:sz="0" w:space="0" w:color="auto"/>
        <w:left w:val="none" w:sz="0" w:space="0" w:color="auto"/>
        <w:bottom w:val="none" w:sz="0" w:space="0" w:color="auto"/>
        <w:right w:val="none" w:sz="0" w:space="0" w:color="auto"/>
      </w:divBdr>
    </w:div>
    <w:div w:id="1890804679">
      <w:bodyDiv w:val="1"/>
      <w:marLeft w:val="0"/>
      <w:marRight w:val="0"/>
      <w:marTop w:val="0"/>
      <w:marBottom w:val="0"/>
      <w:divBdr>
        <w:top w:val="none" w:sz="0" w:space="0" w:color="auto"/>
        <w:left w:val="none" w:sz="0" w:space="0" w:color="auto"/>
        <w:bottom w:val="none" w:sz="0" w:space="0" w:color="auto"/>
        <w:right w:val="none" w:sz="0" w:space="0" w:color="auto"/>
      </w:divBdr>
    </w:div>
    <w:div w:id="1894581549">
      <w:bodyDiv w:val="1"/>
      <w:marLeft w:val="0"/>
      <w:marRight w:val="0"/>
      <w:marTop w:val="0"/>
      <w:marBottom w:val="0"/>
      <w:divBdr>
        <w:top w:val="none" w:sz="0" w:space="0" w:color="auto"/>
        <w:left w:val="none" w:sz="0" w:space="0" w:color="auto"/>
        <w:bottom w:val="none" w:sz="0" w:space="0" w:color="auto"/>
        <w:right w:val="none" w:sz="0" w:space="0" w:color="auto"/>
      </w:divBdr>
    </w:div>
    <w:div w:id="1896893100">
      <w:bodyDiv w:val="1"/>
      <w:marLeft w:val="0"/>
      <w:marRight w:val="0"/>
      <w:marTop w:val="0"/>
      <w:marBottom w:val="0"/>
      <w:divBdr>
        <w:top w:val="none" w:sz="0" w:space="0" w:color="auto"/>
        <w:left w:val="none" w:sz="0" w:space="0" w:color="auto"/>
        <w:bottom w:val="none" w:sz="0" w:space="0" w:color="auto"/>
        <w:right w:val="none" w:sz="0" w:space="0" w:color="auto"/>
      </w:divBdr>
    </w:div>
    <w:div w:id="1897661378">
      <w:bodyDiv w:val="1"/>
      <w:marLeft w:val="0"/>
      <w:marRight w:val="0"/>
      <w:marTop w:val="0"/>
      <w:marBottom w:val="0"/>
      <w:divBdr>
        <w:top w:val="none" w:sz="0" w:space="0" w:color="auto"/>
        <w:left w:val="none" w:sz="0" w:space="0" w:color="auto"/>
        <w:bottom w:val="none" w:sz="0" w:space="0" w:color="auto"/>
        <w:right w:val="none" w:sz="0" w:space="0" w:color="auto"/>
      </w:divBdr>
    </w:div>
    <w:div w:id="1898591764">
      <w:bodyDiv w:val="1"/>
      <w:marLeft w:val="0"/>
      <w:marRight w:val="0"/>
      <w:marTop w:val="0"/>
      <w:marBottom w:val="0"/>
      <w:divBdr>
        <w:top w:val="none" w:sz="0" w:space="0" w:color="auto"/>
        <w:left w:val="none" w:sz="0" w:space="0" w:color="auto"/>
        <w:bottom w:val="none" w:sz="0" w:space="0" w:color="auto"/>
        <w:right w:val="none" w:sz="0" w:space="0" w:color="auto"/>
      </w:divBdr>
    </w:div>
    <w:div w:id="1905262780">
      <w:bodyDiv w:val="1"/>
      <w:marLeft w:val="0"/>
      <w:marRight w:val="0"/>
      <w:marTop w:val="0"/>
      <w:marBottom w:val="0"/>
      <w:divBdr>
        <w:top w:val="none" w:sz="0" w:space="0" w:color="auto"/>
        <w:left w:val="none" w:sz="0" w:space="0" w:color="auto"/>
        <w:bottom w:val="none" w:sz="0" w:space="0" w:color="auto"/>
        <w:right w:val="none" w:sz="0" w:space="0" w:color="auto"/>
      </w:divBdr>
    </w:div>
    <w:div w:id="1912420244">
      <w:bodyDiv w:val="1"/>
      <w:marLeft w:val="0"/>
      <w:marRight w:val="0"/>
      <w:marTop w:val="0"/>
      <w:marBottom w:val="0"/>
      <w:divBdr>
        <w:top w:val="none" w:sz="0" w:space="0" w:color="auto"/>
        <w:left w:val="none" w:sz="0" w:space="0" w:color="auto"/>
        <w:bottom w:val="none" w:sz="0" w:space="0" w:color="auto"/>
        <w:right w:val="none" w:sz="0" w:space="0" w:color="auto"/>
      </w:divBdr>
    </w:div>
    <w:div w:id="1913806608">
      <w:bodyDiv w:val="1"/>
      <w:marLeft w:val="0"/>
      <w:marRight w:val="0"/>
      <w:marTop w:val="0"/>
      <w:marBottom w:val="0"/>
      <w:divBdr>
        <w:top w:val="none" w:sz="0" w:space="0" w:color="auto"/>
        <w:left w:val="none" w:sz="0" w:space="0" w:color="auto"/>
        <w:bottom w:val="none" w:sz="0" w:space="0" w:color="auto"/>
        <w:right w:val="none" w:sz="0" w:space="0" w:color="auto"/>
      </w:divBdr>
    </w:div>
    <w:div w:id="1916010608">
      <w:bodyDiv w:val="1"/>
      <w:marLeft w:val="0"/>
      <w:marRight w:val="0"/>
      <w:marTop w:val="0"/>
      <w:marBottom w:val="0"/>
      <w:divBdr>
        <w:top w:val="none" w:sz="0" w:space="0" w:color="auto"/>
        <w:left w:val="none" w:sz="0" w:space="0" w:color="auto"/>
        <w:bottom w:val="none" w:sz="0" w:space="0" w:color="auto"/>
        <w:right w:val="none" w:sz="0" w:space="0" w:color="auto"/>
      </w:divBdr>
    </w:div>
    <w:div w:id="1930851555">
      <w:bodyDiv w:val="1"/>
      <w:marLeft w:val="0"/>
      <w:marRight w:val="0"/>
      <w:marTop w:val="0"/>
      <w:marBottom w:val="0"/>
      <w:divBdr>
        <w:top w:val="none" w:sz="0" w:space="0" w:color="auto"/>
        <w:left w:val="none" w:sz="0" w:space="0" w:color="auto"/>
        <w:bottom w:val="none" w:sz="0" w:space="0" w:color="auto"/>
        <w:right w:val="none" w:sz="0" w:space="0" w:color="auto"/>
      </w:divBdr>
    </w:div>
    <w:div w:id="1969236242">
      <w:bodyDiv w:val="1"/>
      <w:marLeft w:val="0"/>
      <w:marRight w:val="0"/>
      <w:marTop w:val="0"/>
      <w:marBottom w:val="0"/>
      <w:divBdr>
        <w:top w:val="none" w:sz="0" w:space="0" w:color="auto"/>
        <w:left w:val="none" w:sz="0" w:space="0" w:color="auto"/>
        <w:bottom w:val="none" w:sz="0" w:space="0" w:color="auto"/>
        <w:right w:val="none" w:sz="0" w:space="0" w:color="auto"/>
      </w:divBdr>
    </w:div>
    <w:div w:id="1969899515">
      <w:bodyDiv w:val="1"/>
      <w:marLeft w:val="0"/>
      <w:marRight w:val="0"/>
      <w:marTop w:val="0"/>
      <w:marBottom w:val="0"/>
      <w:divBdr>
        <w:top w:val="none" w:sz="0" w:space="0" w:color="auto"/>
        <w:left w:val="none" w:sz="0" w:space="0" w:color="auto"/>
        <w:bottom w:val="none" w:sz="0" w:space="0" w:color="auto"/>
        <w:right w:val="none" w:sz="0" w:space="0" w:color="auto"/>
      </w:divBdr>
    </w:div>
    <w:div w:id="1972469164">
      <w:bodyDiv w:val="1"/>
      <w:marLeft w:val="0"/>
      <w:marRight w:val="0"/>
      <w:marTop w:val="0"/>
      <w:marBottom w:val="0"/>
      <w:divBdr>
        <w:top w:val="none" w:sz="0" w:space="0" w:color="auto"/>
        <w:left w:val="none" w:sz="0" w:space="0" w:color="auto"/>
        <w:bottom w:val="none" w:sz="0" w:space="0" w:color="auto"/>
        <w:right w:val="none" w:sz="0" w:space="0" w:color="auto"/>
      </w:divBdr>
    </w:div>
    <w:div w:id="1981839402">
      <w:bodyDiv w:val="1"/>
      <w:marLeft w:val="0"/>
      <w:marRight w:val="0"/>
      <w:marTop w:val="0"/>
      <w:marBottom w:val="0"/>
      <w:divBdr>
        <w:top w:val="none" w:sz="0" w:space="0" w:color="auto"/>
        <w:left w:val="none" w:sz="0" w:space="0" w:color="auto"/>
        <w:bottom w:val="none" w:sz="0" w:space="0" w:color="auto"/>
        <w:right w:val="none" w:sz="0" w:space="0" w:color="auto"/>
      </w:divBdr>
    </w:div>
    <w:div w:id="1981839614">
      <w:bodyDiv w:val="1"/>
      <w:marLeft w:val="0"/>
      <w:marRight w:val="0"/>
      <w:marTop w:val="0"/>
      <w:marBottom w:val="0"/>
      <w:divBdr>
        <w:top w:val="none" w:sz="0" w:space="0" w:color="auto"/>
        <w:left w:val="none" w:sz="0" w:space="0" w:color="auto"/>
        <w:bottom w:val="none" w:sz="0" w:space="0" w:color="auto"/>
        <w:right w:val="none" w:sz="0" w:space="0" w:color="auto"/>
      </w:divBdr>
    </w:div>
    <w:div w:id="1990666635">
      <w:bodyDiv w:val="1"/>
      <w:marLeft w:val="0"/>
      <w:marRight w:val="0"/>
      <w:marTop w:val="0"/>
      <w:marBottom w:val="0"/>
      <w:divBdr>
        <w:top w:val="none" w:sz="0" w:space="0" w:color="auto"/>
        <w:left w:val="none" w:sz="0" w:space="0" w:color="auto"/>
        <w:bottom w:val="none" w:sz="0" w:space="0" w:color="auto"/>
        <w:right w:val="none" w:sz="0" w:space="0" w:color="auto"/>
      </w:divBdr>
    </w:div>
    <w:div w:id="1992753884">
      <w:bodyDiv w:val="1"/>
      <w:marLeft w:val="0"/>
      <w:marRight w:val="0"/>
      <w:marTop w:val="0"/>
      <w:marBottom w:val="0"/>
      <w:divBdr>
        <w:top w:val="none" w:sz="0" w:space="0" w:color="auto"/>
        <w:left w:val="none" w:sz="0" w:space="0" w:color="auto"/>
        <w:bottom w:val="none" w:sz="0" w:space="0" w:color="auto"/>
        <w:right w:val="none" w:sz="0" w:space="0" w:color="auto"/>
      </w:divBdr>
    </w:div>
    <w:div w:id="1997105460">
      <w:bodyDiv w:val="1"/>
      <w:marLeft w:val="0"/>
      <w:marRight w:val="0"/>
      <w:marTop w:val="0"/>
      <w:marBottom w:val="0"/>
      <w:divBdr>
        <w:top w:val="none" w:sz="0" w:space="0" w:color="auto"/>
        <w:left w:val="none" w:sz="0" w:space="0" w:color="auto"/>
        <w:bottom w:val="none" w:sz="0" w:space="0" w:color="auto"/>
        <w:right w:val="none" w:sz="0" w:space="0" w:color="auto"/>
      </w:divBdr>
      <w:divsChild>
        <w:div w:id="452214099">
          <w:marLeft w:val="0"/>
          <w:marRight w:val="0"/>
          <w:marTop w:val="0"/>
          <w:marBottom w:val="0"/>
          <w:divBdr>
            <w:top w:val="none" w:sz="0" w:space="0" w:color="auto"/>
            <w:left w:val="none" w:sz="0" w:space="0" w:color="auto"/>
            <w:bottom w:val="none" w:sz="0" w:space="0" w:color="auto"/>
            <w:right w:val="none" w:sz="0" w:space="0" w:color="auto"/>
          </w:divBdr>
          <w:divsChild>
            <w:div w:id="355272912">
              <w:marLeft w:val="0"/>
              <w:marRight w:val="0"/>
              <w:marTop w:val="0"/>
              <w:marBottom w:val="0"/>
              <w:divBdr>
                <w:top w:val="none" w:sz="0" w:space="0" w:color="auto"/>
                <w:left w:val="none" w:sz="0" w:space="0" w:color="auto"/>
                <w:bottom w:val="none" w:sz="0" w:space="0" w:color="auto"/>
                <w:right w:val="none" w:sz="0" w:space="0" w:color="auto"/>
              </w:divBdr>
            </w:div>
          </w:divsChild>
        </w:div>
        <w:div w:id="1266422425">
          <w:marLeft w:val="0"/>
          <w:marRight w:val="0"/>
          <w:marTop w:val="0"/>
          <w:marBottom w:val="0"/>
          <w:divBdr>
            <w:top w:val="none" w:sz="0" w:space="0" w:color="auto"/>
            <w:left w:val="none" w:sz="0" w:space="0" w:color="auto"/>
            <w:bottom w:val="none" w:sz="0" w:space="0" w:color="auto"/>
            <w:right w:val="none" w:sz="0" w:space="0" w:color="auto"/>
          </w:divBdr>
          <w:divsChild>
            <w:div w:id="16593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570897">
      <w:bodyDiv w:val="1"/>
      <w:marLeft w:val="0"/>
      <w:marRight w:val="0"/>
      <w:marTop w:val="0"/>
      <w:marBottom w:val="0"/>
      <w:divBdr>
        <w:top w:val="none" w:sz="0" w:space="0" w:color="auto"/>
        <w:left w:val="none" w:sz="0" w:space="0" w:color="auto"/>
        <w:bottom w:val="none" w:sz="0" w:space="0" w:color="auto"/>
        <w:right w:val="none" w:sz="0" w:space="0" w:color="auto"/>
      </w:divBdr>
    </w:div>
    <w:div w:id="2004159050">
      <w:bodyDiv w:val="1"/>
      <w:marLeft w:val="0"/>
      <w:marRight w:val="0"/>
      <w:marTop w:val="0"/>
      <w:marBottom w:val="0"/>
      <w:divBdr>
        <w:top w:val="none" w:sz="0" w:space="0" w:color="auto"/>
        <w:left w:val="none" w:sz="0" w:space="0" w:color="auto"/>
        <w:bottom w:val="none" w:sz="0" w:space="0" w:color="auto"/>
        <w:right w:val="none" w:sz="0" w:space="0" w:color="auto"/>
      </w:divBdr>
      <w:divsChild>
        <w:div w:id="372193294">
          <w:marLeft w:val="0"/>
          <w:marRight w:val="0"/>
          <w:marTop w:val="0"/>
          <w:marBottom w:val="0"/>
          <w:divBdr>
            <w:top w:val="none" w:sz="0" w:space="0" w:color="auto"/>
            <w:left w:val="none" w:sz="0" w:space="0" w:color="auto"/>
            <w:bottom w:val="none" w:sz="0" w:space="0" w:color="auto"/>
            <w:right w:val="none" w:sz="0" w:space="0" w:color="auto"/>
          </w:divBdr>
          <w:divsChild>
            <w:div w:id="102170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237871">
      <w:bodyDiv w:val="1"/>
      <w:marLeft w:val="0"/>
      <w:marRight w:val="0"/>
      <w:marTop w:val="0"/>
      <w:marBottom w:val="0"/>
      <w:divBdr>
        <w:top w:val="none" w:sz="0" w:space="0" w:color="auto"/>
        <w:left w:val="none" w:sz="0" w:space="0" w:color="auto"/>
        <w:bottom w:val="none" w:sz="0" w:space="0" w:color="auto"/>
        <w:right w:val="none" w:sz="0" w:space="0" w:color="auto"/>
      </w:divBdr>
    </w:div>
    <w:div w:id="2031249232">
      <w:bodyDiv w:val="1"/>
      <w:marLeft w:val="0"/>
      <w:marRight w:val="0"/>
      <w:marTop w:val="0"/>
      <w:marBottom w:val="0"/>
      <w:divBdr>
        <w:top w:val="none" w:sz="0" w:space="0" w:color="auto"/>
        <w:left w:val="none" w:sz="0" w:space="0" w:color="auto"/>
        <w:bottom w:val="none" w:sz="0" w:space="0" w:color="auto"/>
        <w:right w:val="none" w:sz="0" w:space="0" w:color="auto"/>
      </w:divBdr>
    </w:div>
    <w:div w:id="2050379018">
      <w:bodyDiv w:val="1"/>
      <w:marLeft w:val="0"/>
      <w:marRight w:val="0"/>
      <w:marTop w:val="0"/>
      <w:marBottom w:val="0"/>
      <w:divBdr>
        <w:top w:val="none" w:sz="0" w:space="0" w:color="auto"/>
        <w:left w:val="none" w:sz="0" w:space="0" w:color="auto"/>
        <w:bottom w:val="none" w:sz="0" w:space="0" w:color="auto"/>
        <w:right w:val="none" w:sz="0" w:space="0" w:color="auto"/>
      </w:divBdr>
    </w:div>
    <w:div w:id="2051806974">
      <w:bodyDiv w:val="1"/>
      <w:marLeft w:val="0"/>
      <w:marRight w:val="0"/>
      <w:marTop w:val="0"/>
      <w:marBottom w:val="0"/>
      <w:divBdr>
        <w:top w:val="none" w:sz="0" w:space="0" w:color="auto"/>
        <w:left w:val="none" w:sz="0" w:space="0" w:color="auto"/>
        <w:bottom w:val="none" w:sz="0" w:space="0" w:color="auto"/>
        <w:right w:val="none" w:sz="0" w:space="0" w:color="auto"/>
      </w:divBdr>
    </w:div>
    <w:div w:id="2055695105">
      <w:bodyDiv w:val="1"/>
      <w:marLeft w:val="0"/>
      <w:marRight w:val="0"/>
      <w:marTop w:val="0"/>
      <w:marBottom w:val="0"/>
      <w:divBdr>
        <w:top w:val="none" w:sz="0" w:space="0" w:color="auto"/>
        <w:left w:val="none" w:sz="0" w:space="0" w:color="auto"/>
        <w:bottom w:val="none" w:sz="0" w:space="0" w:color="auto"/>
        <w:right w:val="none" w:sz="0" w:space="0" w:color="auto"/>
      </w:divBdr>
    </w:div>
    <w:div w:id="2065790237">
      <w:bodyDiv w:val="1"/>
      <w:marLeft w:val="0"/>
      <w:marRight w:val="0"/>
      <w:marTop w:val="0"/>
      <w:marBottom w:val="0"/>
      <w:divBdr>
        <w:top w:val="none" w:sz="0" w:space="0" w:color="auto"/>
        <w:left w:val="none" w:sz="0" w:space="0" w:color="auto"/>
        <w:bottom w:val="none" w:sz="0" w:space="0" w:color="auto"/>
        <w:right w:val="none" w:sz="0" w:space="0" w:color="auto"/>
      </w:divBdr>
    </w:div>
    <w:div w:id="2076733391">
      <w:bodyDiv w:val="1"/>
      <w:marLeft w:val="0"/>
      <w:marRight w:val="0"/>
      <w:marTop w:val="0"/>
      <w:marBottom w:val="0"/>
      <w:divBdr>
        <w:top w:val="none" w:sz="0" w:space="0" w:color="auto"/>
        <w:left w:val="none" w:sz="0" w:space="0" w:color="auto"/>
        <w:bottom w:val="none" w:sz="0" w:space="0" w:color="auto"/>
        <w:right w:val="none" w:sz="0" w:space="0" w:color="auto"/>
      </w:divBdr>
    </w:div>
    <w:div w:id="2078286217">
      <w:bodyDiv w:val="1"/>
      <w:marLeft w:val="0"/>
      <w:marRight w:val="0"/>
      <w:marTop w:val="0"/>
      <w:marBottom w:val="0"/>
      <w:divBdr>
        <w:top w:val="none" w:sz="0" w:space="0" w:color="auto"/>
        <w:left w:val="none" w:sz="0" w:space="0" w:color="auto"/>
        <w:bottom w:val="none" w:sz="0" w:space="0" w:color="auto"/>
        <w:right w:val="none" w:sz="0" w:space="0" w:color="auto"/>
      </w:divBdr>
    </w:div>
    <w:div w:id="2086221145">
      <w:bodyDiv w:val="1"/>
      <w:marLeft w:val="0"/>
      <w:marRight w:val="0"/>
      <w:marTop w:val="0"/>
      <w:marBottom w:val="0"/>
      <w:divBdr>
        <w:top w:val="none" w:sz="0" w:space="0" w:color="auto"/>
        <w:left w:val="none" w:sz="0" w:space="0" w:color="auto"/>
        <w:bottom w:val="none" w:sz="0" w:space="0" w:color="auto"/>
        <w:right w:val="none" w:sz="0" w:space="0" w:color="auto"/>
      </w:divBdr>
    </w:div>
    <w:div w:id="2089300156">
      <w:bodyDiv w:val="1"/>
      <w:marLeft w:val="0"/>
      <w:marRight w:val="0"/>
      <w:marTop w:val="0"/>
      <w:marBottom w:val="0"/>
      <w:divBdr>
        <w:top w:val="none" w:sz="0" w:space="0" w:color="auto"/>
        <w:left w:val="none" w:sz="0" w:space="0" w:color="auto"/>
        <w:bottom w:val="none" w:sz="0" w:space="0" w:color="auto"/>
        <w:right w:val="none" w:sz="0" w:space="0" w:color="auto"/>
      </w:divBdr>
    </w:div>
    <w:div w:id="2093161667">
      <w:bodyDiv w:val="1"/>
      <w:marLeft w:val="0"/>
      <w:marRight w:val="0"/>
      <w:marTop w:val="0"/>
      <w:marBottom w:val="0"/>
      <w:divBdr>
        <w:top w:val="none" w:sz="0" w:space="0" w:color="auto"/>
        <w:left w:val="none" w:sz="0" w:space="0" w:color="auto"/>
        <w:bottom w:val="none" w:sz="0" w:space="0" w:color="auto"/>
        <w:right w:val="none" w:sz="0" w:space="0" w:color="auto"/>
      </w:divBdr>
      <w:divsChild>
        <w:div w:id="609313639">
          <w:marLeft w:val="0"/>
          <w:marRight w:val="0"/>
          <w:marTop w:val="0"/>
          <w:marBottom w:val="0"/>
          <w:divBdr>
            <w:top w:val="none" w:sz="0" w:space="0" w:color="auto"/>
            <w:left w:val="none" w:sz="0" w:space="0" w:color="auto"/>
            <w:bottom w:val="none" w:sz="0" w:space="0" w:color="auto"/>
            <w:right w:val="none" w:sz="0" w:space="0" w:color="auto"/>
          </w:divBdr>
          <w:divsChild>
            <w:div w:id="172841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898076">
      <w:bodyDiv w:val="1"/>
      <w:marLeft w:val="0"/>
      <w:marRight w:val="0"/>
      <w:marTop w:val="0"/>
      <w:marBottom w:val="0"/>
      <w:divBdr>
        <w:top w:val="none" w:sz="0" w:space="0" w:color="auto"/>
        <w:left w:val="none" w:sz="0" w:space="0" w:color="auto"/>
        <w:bottom w:val="none" w:sz="0" w:space="0" w:color="auto"/>
        <w:right w:val="none" w:sz="0" w:space="0" w:color="auto"/>
      </w:divBdr>
    </w:div>
    <w:div w:id="2099670463">
      <w:bodyDiv w:val="1"/>
      <w:marLeft w:val="0"/>
      <w:marRight w:val="0"/>
      <w:marTop w:val="0"/>
      <w:marBottom w:val="0"/>
      <w:divBdr>
        <w:top w:val="none" w:sz="0" w:space="0" w:color="auto"/>
        <w:left w:val="none" w:sz="0" w:space="0" w:color="auto"/>
        <w:bottom w:val="none" w:sz="0" w:space="0" w:color="auto"/>
        <w:right w:val="none" w:sz="0" w:space="0" w:color="auto"/>
      </w:divBdr>
    </w:div>
    <w:div w:id="2102481060">
      <w:bodyDiv w:val="1"/>
      <w:marLeft w:val="0"/>
      <w:marRight w:val="0"/>
      <w:marTop w:val="0"/>
      <w:marBottom w:val="0"/>
      <w:divBdr>
        <w:top w:val="none" w:sz="0" w:space="0" w:color="auto"/>
        <w:left w:val="none" w:sz="0" w:space="0" w:color="auto"/>
        <w:bottom w:val="none" w:sz="0" w:space="0" w:color="auto"/>
        <w:right w:val="none" w:sz="0" w:space="0" w:color="auto"/>
      </w:divBdr>
    </w:div>
    <w:div w:id="2103335011">
      <w:bodyDiv w:val="1"/>
      <w:marLeft w:val="0"/>
      <w:marRight w:val="0"/>
      <w:marTop w:val="0"/>
      <w:marBottom w:val="0"/>
      <w:divBdr>
        <w:top w:val="none" w:sz="0" w:space="0" w:color="auto"/>
        <w:left w:val="none" w:sz="0" w:space="0" w:color="auto"/>
        <w:bottom w:val="none" w:sz="0" w:space="0" w:color="auto"/>
        <w:right w:val="none" w:sz="0" w:space="0" w:color="auto"/>
      </w:divBdr>
    </w:div>
    <w:div w:id="2119837515">
      <w:bodyDiv w:val="1"/>
      <w:marLeft w:val="0"/>
      <w:marRight w:val="0"/>
      <w:marTop w:val="0"/>
      <w:marBottom w:val="0"/>
      <w:divBdr>
        <w:top w:val="none" w:sz="0" w:space="0" w:color="auto"/>
        <w:left w:val="none" w:sz="0" w:space="0" w:color="auto"/>
        <w:bottom w:val="none" w:sz="0" w:space="0" w:color="auto"/>
        <w:right w:val="none" w:sz="0" w:space="0" w:color="auto"/>
      </w:divBdr>
    </w:div>
    <w:div w:id="2122140107">
      <w:bodyDiv w:val="1"/>
      <w:marLeft w:val="0"/>
      <w:marRight w:val="0"/>
      <w:marTop w:val="0"/>
      <w:marBottom w:val="0"/>
      <w:divBdr>
        <w:top w:val="none" w:sz="0" w:space="0" w:color="auto"/>
        <w:left w:val="none" w:sz="0" w:space="0" w:color="auto"/>
        <w:bottom w:val="none" w:sz="0" w:space="0" w:color="auto"/>
        <w:right w:val="none" w:sz="0" w:space="0" w:color="auto"/>
      </w:divBdr>
    </w:div>
    <w:div w:id="2128887026">
      <w:bodyDiv w:val="1"/>
      <w:marLeft w:val="0"/>
      <w:marRight w:val="0"/>
      <w:marTop w:val="0"/>
      <w:marBottom w:val="0"/>
      <w:divBdr>
        <w:top w:val="none" w:sz="0" w:space="0" w:color="auto"/>
        <w:left w:val="none" w:sz="0" w:space="0" w:color="auto"/>
        <w:bottom w:val="none" w:sz="0" w:space="0" w:color="auto"/>
        <w:right w:val="none" w:sz="0" w:space="0" w:color="auto"/>
      </w:divBdr>
      <w:divsChild>
        <w:div w:id="1526334661">
          <w:marLeft w:val="446"/>
          <w:marRight w:val="0"/>
          <w:marTop w:val="240"/>
          <w:marBottom w:val="240"/>
          <w:divBdr>
            <w:top w:val="none" w:sz="0" w:space="0" w:color="auto"/>
            <w:left w:val="none" w:sz="0" w:space="0" w:color="auto"/>
            <w:bottom w:val="none" w:sz="0" w:space="0" w:color="auto"/>
            <w:right w:val="none" w:sz="0" w:space="0" w:color="auto"/>
          </w:divBdr>
        </w:div>
      </w:divsChild>
    </w:div>
    <w:div w:id="2136825979">
      <w:bodyDiv w:val="1"/>
      <w:marLeft w:val="0"/>
      <w:marRight w:val="0"/>
      <w:marTop w:val="0"/>
      <w:marBottom w:val="0"/>
      <w:divBdr>
        <w:top w:val="none" w:sz="0" w:space="0" w:color="auto"/>
        <w:left w:val="none" w:sz="0" w:space="0" w:color="auto"/>
        <w:bottom w:val="none" w:sz="0" w:space="0" w:color="auto"/>
        <w:right w:val="none" w:sz="0" w:space="0" w:color="auto"/>
      </w:divBdr>
      <w:divsChild>
        <w:div w:id="491066169">
          <w:marLeft w:val="605"/>
          <w:marRight w:val="0"/>
          <w:marTop w:val="40"/>
          <w:marBottom w:val="40"/>
          <w:divBdr>
            <w:top w:val="none" w:sz="0" w:space="0" w:color="auto"/>
            <w:left w:val="none" w:sz="0" w:space="0" w:color="auto"/>
            <w:bottom w:val="none" w:sz="0" w:space="0" w:color="auto"/>
            <w:right w:val="none" w:sz="0" w:space="0" w:color="auto"/>
          </w:divBdr>
        </w:div>
        <w:div w:id="931157987">
          <w:marLeft w:val="605"/>
          <w:marRight w:val="0"/>
          <w:marTop w:val="40"/>
          <w:marBottom w:val="40"/>
          <w:divBdr>
            <w:top w:val="none" w:sz="0" w:space="0" w:color="auto"/>
            <w:left w:val="none" w:sz="0" w:space="0" w:color="auto"/>
            <w:bottom w:val="none" w:sz="0" w:space="0" w:color="auto"/>
            <w:right w:val="none" w:sz="0" w:space="0" w:color="auto"/>
          </w:divBdr>
        </w:div>
        <w:div w:id="844982233">
          <w:marLeft w:val="605"/>
          <w:marRight w:val="0"/>
          <w:marTop w:val="40"/>
          <w:marBottom w:val="40"/>
          <w:divBdr>
            <w:top w:val="none" w:sz="0" w:space="0" w:color="auto"/>
            <w:left w:val="none" w:sz="0" w:space="0" w:color="auto"/>
            <w:bottom w:val="none" w:sz="0" w:space="0" w:color="auto"/>
            <w:right w:val="none" w:sz="0" w:space="0" w:color="auto"/>
          </w:divBdr>
        </w:div>
        <w:div w:id="995230964">
          <w:marLeft w:val="605"/>
          <w:marRight w:val="0"/>
          <w:marTop w:val="40"/>
          <w:marBottom w:val="40"/>
          <w:divBdr>
            <w:top w:val="none" w:sz="0" w:space="0" w:color="auto"/>
            <w:left w:val="none" w:sz="0" w:space="0" w:color="auto"/>
            <w:bottom w:val="none" w:sz="0" w:space="0" w:color="auto"/>
            <w:right w:val="none" w:sz="0" w:space="0" w:color="auto"/>
          </w:divBdr>
        </w:div>
        <w:div w:id="400565549">
          <w:marLeft w:val="605"/>
          <w:marRight w:val="0"/>
          <w:marTop w:val="40"/>
          <w:marBottom w:val="40"/>
          <w:divBdr>
            <w:top w:val="none" w:sz="0" w:space="0" w:color="auto"/>
            <w:left w:val="none" w:sz="0" w:space="0" w:color="auto"/>
            <w:bottom w:val="none" w:sz="0" w:space="0" w:color="auto"/>
            <w:right w:val="none" w:sz="0" w:space="0" w:color="auto"/>
          </w:divBdr>
        </w:div>
        <w:div w:id="2020308207">
          <w:marLeft w:val="605"/>
          <w:marRight w:val="0"/>
          <w:marTop w:val="40"/>
          <w:marBottom w:val="40"/>
          <w:divBdr>
            <w:top w:val="none" w:sz="0" w:space="0" w:color="auto"/>
            <w:left w:val="none" w:sz="0" w:space="0" w:color="auto"/>
            <w:bottom w:val="none" w:sz="0" w:space="0" w:color="auto"/>
            <w:right w:val="none" w:sz="0" w:space="0" w:color="auto"/>
          </w:divBdr>
        </w:div>
        <w:div w:id="1233613618">
          <w:marLeft w:val="605"/>
          <w:marRight w:val="0"/>
          <w:marTop w:val="40"/>
          <w:marBottom w:val="40"/>
          <w:divBdr>
            <w:top w:val="none" w:sz="0" w:space="0" w:color="auto"/>
            <w:left w:val="none" w:sz="0" w:space="0" w:color="auto"/>
            <w:bottom w:val="none" w:sz="0" w:space="0" w:color="auto"/>
            <w:right w:val="none" w:sz="0" w:space="0" w:color="auto"/>
          </w:divBdr>
        </w:div>
      </w:divsChild>
    </w:div>
    <w:div w:id="2145390854">
      <w:bodyDiv w:val="1"/>
      <w:marLeft w:val="0"/>
      <w:marRight w:val="0"/>
      <w:marTop w:val="0"/>
      <w:marBottom w:val="0"/>
      <w:divBdr>
        <w:top w:val="none" w:sz="0" w:space="0" w:color="auto"/>
        <w:left w:val="none" w:sz="0" w:space="0" w:color="auto"/>
        <w:bottom w:val="none" w:sz="0" w:space="0" w:color="auto"/>
        <w:right w:val="none" w:sz="0" w:space="0" w:color="auto"/>
      </w:divBdr>
      <w:divsChild>
        <w:div w:id="16039547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inmidt.cm" TargetMode="External"/><Relationship Id="rId21" Type="http://schemas.openxmlformats.org/officeDocument/2006/relationships/footer" Target="footer5.xml"/><Relationship Id="rId42" Type="http://schemas.openxmlformats.org/officeDocument/2006/relationships/footer" Target="footer6.xml"/><Relationship Id="rId47" Type="http://schemas.openxmlformats.org/officeDocument/2006/relationships/image" Target="media/image11.png"/><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hyperlink" Target="https://enerteam.tn/" TargetMode="External"/><Relationship Id="rId89" Type="http://schemas.openxmlformats.org/officeDocument/2006/relationships/theme" Target="theme/theme1.xml"/><Relationship Id="rId16" Type="http://schemas.openxmlformats.org/officeDocument/2006/relationships/image" Target="media/image4.png"/><Relationship Id="rId11" Type="http://schemas.openxmlformats.org/officeDocument/2006/relationships/image" Target="media/image3.png"/><Relationship Id="rId32" Type="http://schemas.openxmlformats.org/officeDocument/2006/relationships/hyperlink" Target="https://www.minmidt.cm/mines/services/" TargetMode="External"/><Relationship Id="rId37" Type="http://schemas.openxmlformats.org/officeDocument/2006/relationships/image" Target="media/image9.png"/><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hyperlink" Target="https://www.minmidt.cm/conventions-minieres/" TargetMode="External"/><Relationship Id="rId30" Type="http://schemas.openxmlformats.org/officeDocument/2006/relationships/hyperlink" Target="https://www.minmidt.cm/mines-et-carrieres/" TargetMode="External"/><Relationship Id="rId35" Type="http://schemas.openxmlformats.org/officeDocument/2006/relationships/hyperlink" Target="https://www.snh.cm" TargetMode="External"/><Relationship Id="rId43" Type="http://schemas.openxmlformats.org/officeDocument/2006/relationships/header" Target="header4.xml"/><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15.png"/><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hyperlink" Target="mailto:enerteam@enerteam.tn" TargetMode="Externa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header" Target="header2.xml"/><Relationship Id="rId25" Type="http://schemas.openxmlformats.org/officeDocument/2006/relationships/hyperlink" Target="http://mof.cameroon.opendataforafrica.org" TargetMode="External"/><Relationship Id="rId33" Type="http://schemas.openxmlformats.org/officeDocument/2006/relationships/image" Target="media/image7.png"/><Relationship Id="rId38" Type="http://schemas.openxmlformats.org/officeDocument/2006/relationships/hyperlink" Target="https://cameroon.opendataforafrica.org/svmteze/donn%C3%A9es-itie-produites-par-l-ins" TargetMode="External"/><Relationship Id="rId46" Type="http://schemas.openxmlformats.org/officeDocument/2006/relationships/footer" Target="footer8.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footer" Target="footer4.xml"/><Relationship Id="rId41" Type="http://schemas.openxmlformats.org/officeDocument/2006/relationships/hyperlink" Target="http://www.resourcecontracts.org/"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hyperlink" Target="mailto:enerteam@enerteam.tn"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s://eiticameroon.org" TargetMode="External"/><Relationship Id="rId28" Type="http://schemas.openxmlformats.org/officeDocument/2006/relationships/image" Target="media/image6.png"/><Relationship Id="rId36" Type="http://schemas.openxmlformats.org/officeDocument/2006/relationships/image" Target="media/image8.png"/><Relationship Id="rId49" Type="http://schemas.openxmlformats.org/officeDocument/2006/relationships/image" Target="media/image13.png"/><Relationship Id="rId57" Type="http://schemas.openxmlformats.org/officeDocument/2006/relationships/image" Target="media/image21.png"/><Relationship Id="rId10" Type="http://schemas.openxmlformats.org/officeDocument/2006/relationships/image" Target="media/image2.png"/><Relationship Id="rId31" Type="http://schemas.openxmlformats.org/officeDocument/2006/relationships/hyperlink" Target="https://www.minmidt.cm/category/telechargements/" TargetMode="External"/><Relationship Id="rId44" Type="http://schemas.openxmlformats.org/officeDocument/2006/relationships/footer" Target="footer7.xm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hyperlink" Target="https://enerteam.tn/" TargetMode="Externa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www.resourcecontracts.org" TargetMode="External"/><Relationship Id="rId34" Type="http://schemas.openxmlformats.org/officeDocument/2006/relationships/hyperlink" Target="https://portals.landfolio.com/cameroon/fr/" TargetMode="External"/><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hyperlink" Target="https://www.minmidt.cm/permis-dexploitation/" TargetMode="External"/><Relationship Id="rId24" Type="http://schemas.openxmlformats.org/officeDocument/2006/relationships/hyperlink" Target="https://minfi.gov.cm/category/documentation/" TargetMode="External"/><Relationship Id="rId40" Type="http://schemas.openxmlformats.org/officeDocument/2006/relationships/image" Target="media/image10.png"/><Relationship Id="rId45" Type="http://schemas.openxmlformats.org/officeDocument/2006/relationships/header" Target="header5.xml"/><Relationship Id="rId66" Type="http://schemas.openxmlformats.org/officeDocument/2006/relationships/image" Target="media/image30.png"/><Relationship Id="rId87" Type="http://schemas.openxmlformats.org/officeDocument/2006/relationships/image" Target="media/image47.png"/><Relationship Id="rId61" Type="http://schemas.openxmlformats.org/officeDocument/2006/relationships/image" Target="media/image25.png"/><Relationship Id="rId82" Type="http://schemas.openxmlformats.org/officeDocument/2006/relationships/image" Target="media/image46.png"/><Relationship Id="rId19" Type="http://schemas.openxmlformats.org/officeDocument/2006/relationships/header" Target="head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D72FB4-2335-4784-A4B2-92AE573882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109</Pages>
  <Words>23265</Words>
  <Characters>146369</Characters>
  <Application>Microsoft Office Word</Application>
  <DocSecurity>0</DocSecurity>
  <Lines>1219</Lines>
  <Paragraphs>338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Karim Lourimi</dc:creator>
  <cp:keywords/>
  <dc:description/>
  <cp:lastModifiedBy>Karim Lourimi</cp:lastModifiedBy>
  <cp:revision>8</cp:revision>
  <cp:lastPrinted>2024-05-16T16:43:00Z</cp:lastPrinted>
  <dcterms:created xsi:type="dcterms:W3CDTF">2025-07-29T14:32:00Z</dcterms:created>
  <dcterms:modified xsi:type="dcterms:W3CDTF">2025-07-29T14:56:00Z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93ddcbeb-14b2-4770-a74a-06cc5e5f945d</vt:lpwstr>
  </property>
</Properties>
</file>